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33EFF">
      <w:pPr>
        <w:jc w:val="center"/>
        <w:rPr>
          <w:rFonts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国家重点港口工程以外属于政府投资的港口工程建设项目竣工验收（县级权限）</w:t>
      </w:r>
    </w:p>
    <w:p w14:paraId="253E24FF">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w:t>
      </w:r>
      <w:r>
        <w:rPr>
          <w:rFonts w:hint="eastAsia" w:ascii="宋体" w:hAnsi="宋体" w:eastAsia="宋体" w:cs="宋体"/>
          <w:sz w:val="40"/>
          <w:szCs w:val="40"/>
        </w:rPr>
        <w:t>00011822500701</w:t>
      </w:r>
      <w:r>
        <w:rPr>
          <w:rFonts w:hint="eastAsia" w:ascii="方正小标宋_GBK" w:hAnsi="方正小标宋_GBK" w:eastAsia="方正小标宋_GBK" w:cs="方正小标宋_GBK"/>
          <w:sz w:val="40"/>
          <w:szCs w:val="40"/>
        </w:rPr>
        <w:t>】</w:t>
      </w:r>
    </w:p>
    <w:p w14:paraId="232CD577">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14:paraId="1C2B4638">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14:paraId="2072F832">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水运工程建设项目竣工验收【</w:t>
      </w:r>
      <w:r>
        <w:rPr>
          <w:rFonts w:hint="eastAsia" w:ascii="宋体" w:hAnsi="宋体" w:eastAsia="宋体" w:cs="宋体"/>
          <w:sz w:val="28"/>
          <w:szCs w:val="28"/>
        </w:rPr>
        <w:t>00011822500Y</w:t>
      </w:r>
      <w:r>
        <w:rPr>
          <w:rFonts w:hint="eastAsia" w:ascii="方正仿宋_GBK" w:hAnsi="方正仿宋_GBK" w:eastAsia="方正仿宋_GBK" w:cs="方正仿宋_GBK"/>
          <w:sz w:val="28"/>
          <w:szCs w:val="28"/>
        </w:rPr>
        <w:t>】</w:t>
      </w:r>
    </w:p>
    <w:p w14:paraId="1AE8E56D">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14:paraId="2B28C023">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国家重点港口工程以外属于政府投资的港口工程建设项目竣工验收（县级权限）【</w:t>
      </w:r>
      <w:r>
        <w:rPr>
          <w:rFonts w:hint="eastAsia" w:ascii="宋体" w:hAnsi="宋体" w:eastAsia="宋体" w:cs="宋体"/>
          <w:sz w:val="28"/>
          <w:szCs w:val="28"/>
        </w:rPr>
        <w:t>000118225007</w:t>
      </w:r>
      <w:r>
        <w:rPr>
          <w:rFonts w:hint="eastAsia" w:ascii="方正仿宋_GBK" w:hAnsi="方正仿宋_GBK" w:eastAsia="方正仿宋_GBK" w:cs="方正仿宋_GBK"/>
          <w:sz w:val="28"/>
          <w:szCs w:val="28"/>
        </w:rPr>
        <w:t>】</w:t>
      </w:r>
    </w:p>
    <w:p w14:paraId="31E5E2BC">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.行政许可事项业务办理项名称及编码</w:t>
      </w:r>
    </w:p>
    <w:p w14:paraId="6DF8CF06">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国家重点港口工程以外属于政府投资的港口工程建设项目竣工验收（县级权限）(</w:t>
      </w:r>
      <w:r>
        <w:rPr>
          <w:rFonts w:hint="eastAsia" w:ascii="宋体" w:hAnsi="宋体" w:eastAsia="宋体" w:cs="宋体"/>
          <w:sz w:val="28"/>
          <w:szCs w:val="28"/>
        </w:rPr>
        <w:t>00011822500701</w:t>
      </w:r>
      <w:r>
        <w:rPr>
          <w:rFonts w:hint="eastAsia" w:ascii="方正仿宋_GBK" w:hAnsi="方正仿宋_GBK" w:eastAsia="方正仿宋_GBK" w:cs="方正仿宋_GBK"/>
          <w:sz w:val="28"/>
          <w:szCs w:val="28"/>
        </w:rPr>
        <w:t>)</w:t>
      </w:r>
    </w:p>
    <w:p w14:paraId="2D95BE64">
      <w:pPr>
        <w:spacing w:line="360" w:lineRule="auto"/>
        <w:ind w:firstLine="562" w:firstLineChars="200"/>
        <w:rPr>
          <w:rFonts w:ascii="Times New Roman" w:hAnsi="Times New Roman" w:eastAsia="仿宋GB2312"/>
          <w:b/>
          <w:bCs/>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.设定依据</w:t>
      </w:r>
    </w:p>
    <w:p w14:paraId="3E1C4C13">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宋体" w:hAnsi="宋体" w:eastAsia="宋体" w:cs="宋体"/>
          <w:sz w:val="28"/>
          <w:szCs w:val="28"/>
        </w:rPr>
        <w:t>1</w:t>
      </w:r>
      <w:r>
        <w:rPr>
          <w:rFonts w:hint="eastAsia" w:ascii="方正仿宋_GBK" w:hAnsi="方正仿宋_GBK" w:eastAsia="方正仿宋_GBK" w:cs="方正仿宋_GBK"/>
          <w:sz w:val="28"/>
          <w:szCs w:val="28"/>
        </w:rPr>
        <w:t>）《中华人民共和国港口法》第十九条</w:t>
      </w:r>
    </w:p>
    <w:p w14:paraId="49E8AD12">
      <w:pPr>
        <w:spacing w:line="540" w:lineRule="exact"/>
        <w:ind w:firstLine="560" w:firstLineChars="200"/>
        <w:outlineLvl w:val="2"/>
        <w:rPr>
          <w:rFonts w:ascii="Times New Roman" w:hAnsi="Times New Roman" w:eastAsia="仿宋GB2312"/>
          <w:sz w:val="28"/>
          <w:szCs w:val="28"/>
        </w:rPr>
      </w:pPr>
      <w:r>
        <w:rPr>
          <w:rFonts w:hint="eastAsia" w:ascii="Times New Roman" w:hAnsi="Times New Roman" w:eastAsia="仿宋GB2312"/>
          <w:sz w:val="28"/>
          <w:szCs w:val="28"/>
        </w:rPr>
        <w:t>（</w:t>
      </w:r>
      <w:r>
        <w:rPr>
          <w:rFonts w:hint="eastAsia" w:ascii="宋体" w:hAnsi="宋体" w:eastAsia="宋体" w:cs="宋体"/>
          <w:sz w:val="28"/>
          <w:szCs w:val="28"/>
        </w:rPr>
        <w:t>2</w:t>
      </w:r>
      <w:r>
        <w:rPr>
          <w:rFonts w:hint="eastAsia" w:ascii="Times New Roman" w:hAnsi="Times New Roman" w:eastAsia="仿宋GB2312"/>
          <w:sz w:val="28"/>
          <w:szCs w:val="28"/>
        </w:rPr>
        <w:t>）《云南省人民政府关于简政放权取消和调整部分省级行政审批项目的决定》（云政发〔</w:t>
      </w:r>
      <w:r>
        <w:rPr>
          <w:rFonts w:hint="eastAsia" w:ascii="宋体" w:hAnsi="宋体" w:eastAsia="宋体" w:cs="宋体"/>
          <w:sz w:val="28"/>
          <w:szCs w:val="28"/>
        </w:rPr>
        <w:t>2013</w:t>
      </w:r>
      <w:r>
        <w:rPr>
          <w:rFonts w:hint="eastAsia" w:ascii="Times New Roman" w:hAnsi="Times New Roman" w:eastAsia="仿宋GB2312"/>
          <w:sz w:val="28"/>
          <w:szCs w:val="28"/>
        </w:rPr>
        <w:t>〕</w:t>
      </w:r>
      <w:r>
        <w:rPr>
          <w:rFonts w:hint="eastAsia" w:ascii="宋体" w:hAnsi="宋体" w:eastAsia="宋体" w:cs="宋体"/>
          <w:sz w:val="28"/>
          <w:szCs w:val="28"/>
        </w:rPr>
        <w:t>44</w:t>
      </w:r>
      <w:r>
        <w:rPr>
          <w:rFonts w:hint="eastAsia" w:ascii="Times New Roman" w:hAnsi="Times New Roman" w:eastAsia="仿宋GB2312"/>
          <w:sz w:val="28"/>
          <w:szCs w:val="28"/>
        </w:rPr>
        <w:t>号）</w:t>
      </w:r>
    </w:p>
    <w:p w14:paraId="4A08A98F">
      <w:pPr>
        <w:spacing w:line="540" w:lineRule="exact"/>
        <w:ind w:firstLine="560" w:firstLineChars="200"/>
        <w:outlineLvl w:val="2"/>
        <w:rPr>
          <w:rFonts w:ascii="Times New Roman" w:hAnsi="Times New Roman" w:eastAsia="仿宋GB2312"/>
          <w:sz w:val="28"/>
          <w:szCs w:val="28"/>
          <w:highlight w:val="yellow"/>
        </w:rPr>
      </w:pPr>
      <w:r>
        <w:rPr>
          <w:rFonts w:hint="eastAsia" w:ascii="Times New Roman" w:hAnsi="Times New Roman" w:eastAsia="仿宋GB2312"/>
          <w:sz w:val="28"/>
          <w:szCs w:val="28"/>
        </w:rPr>
        <w:t>（</w:t>
      </w:r>
      <w:r>
        <w:rPr>
          <w:rFonts w:hint="eastAsia" w:ascii="宋体" w:hAnsi="宋体" w:eastAsia="宋体" w:cs="宋体"/>
          <w:sz w:val="28"/>
          <w:szCs w:val="28"/>
        </w:rPr>
        <w:t>3</w:t>
      </w:r>
      <w:r>
        <w:rPr>
          <w:rFonts w:hint="eastAsia" w:ascii="Times New Roman" w:hAnsi="Times New Roman" w:eastAsia="仿宋GB2312"/>
          <w:sz w:val="28"/>
          <w:szCs w:val="28"/>
        </w:rPr>
        <w:t>）《云南省人民政府行政审批制度改革办公室关于取消和下放一批行政许可事项的通知》（云审改办发〔</w:t>
      </w:r>
      <w:r>
        <w:rPr>
          <w:rFonts w:hint="eastAsia" w:ascii="宋体" w:hAnsi="宋体" w:eastAsia="宋体" w:cs="宋体"/>
          <w:sz w:val="28"/>
          <w:szCs w:val="28"/>
        </w:rPr>
        <w:t>2017</w:t>
      </w:r>
      <w:r>
        <w:rPr>
          <w:rFonts w:hint="eastAsia" w:ascii="Times New Roman" w:hAnsi="Times New Roman" w:eastAsia="仿宋GB2312"/>
          <w:sz w:val="28"/>
          <w:szCs w:val="28"/>
        </w:rPr>
        <w:t>〕</w:t>
      </w:r>
      <w:r>
        <w:rPr>
          <w:rFonts w:hint="eastAsia" w:ascii="宋体" w:hAnsi="宋体" w:eastAsia="宋体" w:cs="宋体"/>
          <w:sz w:val="28"/>
          <w:szCs w:val="28"/>
        </w:rPr>
        <w:t>1</w:t>
      </w:r>
      <w:r>
        <w:rPr>
          <w:rFonts w:hint="eastAsia" w:ascii="Times New Roman" w:hAnsi="Times New Roman" w:eastAsia="仿宋GB2312"/>
          <w:sz w:val="28"/>
          <w:szCs w:val="28"/>
        </w:rPr>
        <w:t>号）</w:t>
      </w:r>
    </w:p>
    <w:p w14:paraId="46E59E79">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.实施依据</w:t>
      </w:r>
    </w:p>
    <w:p w14:paraId="49FB7A85">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宋体" w:hAnsi="宋体" w:eastAsia="宋体" w:cs="宋体"/>
          <w:sz w:val="28"/>
          <w:szCs w:val="28"/>
        </w:rPr>
        <w:t>1</w:t>
      </w:r>
      <w:r>
        <w:rPr>
          <w:rFonts w:ascii="方正仿宋_GBK" w:hAnsi="方正仿宋_GBK" w:eastAsia="方正仿宋_GBK" w:cs="方正仿宋_GBK"/>
          <w:sz w:val="28"/>
          <w:szCs w:val="28"/>
        </w:rPr>
        <w:t>）《港口工程建设管理规定》（交通运输部令</w:t>
      </w:r>
      <w:r>
        <w:rPr>
          <w:rFonts w:hint="eastAsia" w:ascii="宋体" w:hAnsi="宋体" w:eastAsia="宋体" w:cs="宋体"/>
          <w:sz w:val="28"/>
          <w:szCs w:val="28"/>
        </w:rPr>
        <w:t>2019</w:t>
      </w:r>
      <w:r>
        <w:rPr>
          <w:rFonts w:ascii="方正仿宋_GBK" w:hAnsi="方正仿宋_GBK" w:eastAsia="方正仿宋_GBK" w:cs="方正仿宋_GBK"/>
          <w:sz w:val="28"/>
          <w:szCs w:val="28"/>
        </w:rPr>
        <w:t>年第</w:t>
      </w:r>
      <w:r>
        <w:rPr>
          <w:rFonts w:hint="eastAsia" w:ascii="宋体" w:hAnsi="宋体" w:eastAsia="宋体" w:cs="宋体"/>
          <w:sz w:val="28"/>
          <w:szCs w:val="28"/>
        </w:rPr>
        <w:t>32</w:t>
      </w:r>
      <w:r>
        <w:rPr>
          <w:rFonts w:ascii="方正仿宋_GBK" w:hAnsi="方正仿宋_GBK" w:eastAsia="方正仿宋_GBK" w:cs="方正仿宋_GBK"/>
          <w:sz w:val="28"/>
          <w:szCs w:val="28"/>
        </w:rPr>
        <w:t>号）第四十三条</w:t>
      </w:r>
    </w:p>
    <w:p w14:paraId="674C6891">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6</w:t>
      </w:r>
      <w:r>
        <w:rPr>
          <w:rFonts w:hint="eastAsia" w:ascii="Times New Roman" w:hAnsi="Times New Roman" w:eastAsia="仿宋GB2312"/>
          <w:b/>
          <w:bCs/>
          <w:sz w:val="28"/>
          <w:szCs w:val="28"/>
        </w:rPr>
        <w:t>.监管依据</w:t>
      </w:r>
    </w:p>
    <w:p w14:paraId="326E9790">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宋体" w:hAnsi="宋体" w:eastAsia="宋体" w:cs="宋体"/>
          <w:sz w:val="28"/>
          <w:szCs w:val="28"/>
        </w:rPr>
        <w:t>1</w:t>
      </w:r>
      <w:r>
        <w:rPr>
          <w:rFonts w:ascii="方正仿宋_GBK" w:hAnsi="方正仿宋_GBK" w:eastAsia="方正仿宋_GBK" w:cs="方正仿宋_GBK"/>
          <w:sz w:val="28"/>
          <w:szCs w:val="28"/>
        </w:rPr>
        <w:t>）《中华人民共和国港口法》第六条</w:t>
      </w:r>
    </w:p>
    <w:p w14:paraId="3F9B8969">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宋体" w:hAnsi="宋体" w:eastAsia="宋体" w:cs="宋体"/>
          <w:sz w:val="28"/>
          <w:szCs w:val="28"/>
        </w:rPr>
        <w:t>2</w:t>
      </w:r>
      <w:r>
        <w:rPr>
          <w:rFonts w:ascii="方正仿宋_GBK" w:hAnsi="方正仿宋_GBK" w:eastAsia="方正仿宋_GBK" w:cs="方正仿宋_GBK"/>
          <w:sz w:val="28"/>
          <w:szCs w:val="28"/>
        </w:rPr>
        <w:t>）《建设工程质量管理条例》第五十八条</w:t>
      </w:r>
    </w:p>
    <w:p w14:paraId="57E16DAC">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宋体" w:hAnsi="宋体" w:eastAsia="宋体" w:cs="宋体"/>
          <w:sz w:val="28"/>
          <w:szCs w:val="28"/>
        </w:rPr>
        <w:t>3</w:t>
      </w:r>
      <w:r>
        <w:rPr>
          <w:rFonts w:ascii="方正仿宋_GBK" w:hAnsi="方正仿宋_GBK" w:eastAsia="方正仿宋_GBK" w:cs="方正仿宋_GBK"/>
          <w:sz w:val="28"/>
          <w:szCs w:val="28"/>
        </w:rPr>
        <w:t>）《港口工程建设管理规定》（交通运输部令</w:t>
      </w:r>
      <w:r>
        <w:rPr>
          <w:rFonts w:hint="eastAsia" w:ascii="宋体" w:hAnsi="宋体" w:eastAsia="宋体" w:cs="宋体"/>
          <w:sz w:val="28"/>
          <w:szCs w:val="28"/>
        </w:rPr>
        <w:t>2019</w:t>
      </w:r>
      <w:r>
        <w:rPr>
          <w:rFonts w:ascii="方正仿宋_GBK" w:hAnsi="方正仿宋_GBK" w:eastAsia="方正仿宋_GBK" w:cs="方正仿宋_GBK"/>
          <w:sz w:val="28"/>
          <w:szCs w:val="28"/>
        </w:rPr>
        <w:t>年第</w:t>
      </w:r>
      <w:r>
        <w:rPr>
          <w:rFonts w:hint="eastAsia" w:ascii="宋体" w:hAnsi="宋体" w:eastAsia="宋体" w:cs="宋体"/>
          <w:sz w:val="28"/>
          <w:szCs w:val="28"/>
        </w:rPr>
        <w:t>32</w:t>
      </w:r>
      <w:r>
        <w:rPr>
          <w:rFonts w:ascii="方正仿宋_GBK" w:hAnsi="方正仿宋_GBK" w:eastAsia="方正仿宋_GBK" w:cs="方正仿宋_GBK"/>
          <w:sz w:val="28"/>
          <w:szCs w:val="28"/>
        </w:rPr>
        <w:t>号）第三条、第七十条</w:t>
      </w:r>
    </w:p>
    <w:p w14:paraId="4D9C35AC">
      <w:pPr>
        <w:spacing w:line="600" w:lineRule="exact"/>
        <w:ind w:firstLine="562" w:firstLineChars="200"/>
        <w:rPr>
          <w:rFonts w:ascii="方正仿宋_GBK" w:hAnsi="方正仿宋_GBK" w:eastAsia="方正仿宋_GBK" w:cs="方正仿宋_GBK"/>
          <w:sz w:val="28"/>
          <w:szCs w:val="28"/>
        </w:rPr>
      </w:pPr>
      <w:r>
        <w:rPr>
          <w:rFonts w:hint="eastAsia" w:ascii="宋体" w:hAnsi="宋体" w:eastAsia="宋体" w:cs="宋体"/>
          <w:b/>
          <w:bCs/>
          <w:sz w:val="28"/>
          <w:szCs w:val="28"/>
        </w:rPr>
        <w:t>7</w:t>
      </w:r>
      <w:r>
        <w:rPr>
          <w:rFonts w:hint="eastAsia" w:ascii="Times New Roman" w:hAnsi="Times New Roman" w:eastAsia="仿宋GB2312"/>
          <w:b/>
          <w:bCs/>
          <w:sz w:val="28"/>
          <w:szCs w:val="28"/>
        </w:rPr>
        <w:t>.</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5F04B716">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8</w:t>
      </w:r>
      <w:r>
        <w:rPr>
          <w:rFonts w:hint="eastAsia" w:ascii="Times New Roman" w:hAnsi="Times New Roman" w:eastAsia="仿宋GB2312"/>
          <w:b/>
          <w:bCs/>
          <w:sz w:val="28"/>
          <w:szCs w:val="28"/>
        </w:rPr>
        <w:t>.</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4CBE1CFE">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9</w:t>
      </w:r>
      <w:r>
        <w:rPr>
          <w:rFonts w:hint="eastAsia" w:ascii="Times New Roman" w:hAnsi="Times New Roman" w:eastAsia="仿宋GB2312"/>
          <w:b/>
          <w:bCs/>
          <w:sz w:val="28"/>
          <w:szCs w:val="28"/>
        </w:rPr>
        <w:t>.行使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69782D06">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10</w:t>
      </w:r>
      <w:r>
        <w:rPr>
          <w:rFonts w:hint="eastAsia" w:ascii="Times New Roman" w:hAnsi="Times New Roman" w:eastAsia="仿宋GB2312"/>
          <w:b/>
          <w:bCs/>
          <w:sz w:val="28"/>
          <w:szCs w:val="28"/>
        </w:rPr>
        <w:t>.</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0BB24237">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11</w:t>
      </w:r>
      <w:r>
        <w:rPr>
          <w:rFonts w:hint="eastAsia" w:ascii="Times New Roman" w:hAnsi="Times New Roman" w:eastAsia="仿宋GB2312"/>
          <w:b/>
          <w:bCs/>
          <w:sz w:val="28"/>
          <w:szCs w:val="28"/>
        </w:rPr>
        <w:t>.</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6CB8DB3A">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12</w:t>
      </w:r>
      <w:r>
        <w:rPr>
          <w:rFonts w:hint="eastAsia" w:ascii="Times New Roman" w:hAnsi="Times New Roman" w:eastAsia="仿宋GB2312"/>
          <w:b/>
          <w:bCs/>
          <w:sz w:val="28"/>
          <w:szCs w:val="28"/>
        </w:rPr>
        <w:t>.</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63329DFF">
      <w:pPr>
        <w:spacing w:line="600" w:lineRule="exact"/>
        <w:ind w:firstLine="562" w:firstLineChars="200"/>
        <w:rPr>
          <w:rFonts w:ascii="Times New Roman" w:hAnsi="Times New Roman" w:eastAsia="仿宋GB2312"/>
          <w:sz w:val="28"/>
          <w:szCs w:val="28"/>
          <w:highlight w:val="yellow"/>
        </w:rPr>
      </w:pPr>
      <w:r>
        <w:rPr>
          <w:rFonts w:hint="eastAsia" w:ascii="宋体" w:hAnsi="宋体" w:eastAsia="宋体" w:cs="宋体"/>
          <w:b/>
          <w:bCs/>
          <w:sz w:val="28"/>
          <w:szCs w:val="28"/>
        </w:rPr>
        <w:t>13</w:t>
      </w:r>
      <w:r>
        <w:rPr>
          <w:rFonts w:hint="eastAsia" w:ascii="Times New Roman" w:hAnsi="Times New Roman" w:eastAsia="仿宋GB2312"/>
          <w:b/>
          <w:bCs/>
          <w:sz w:val="28"/>
          <w:szCs w:val="28"/>
        </w:rPr>
        <w:t>.</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67E2A5E5">
      <w:pPr>
        <w:spacing w:line="600" w:lineRule="exact"/>
        <w:ind w:firstLine="562" w:firstLineChars="200"/>
        <w:jc w:val="left"/>
        <w:rPr>
          <w:rFonts w:ascii="Times New Roman" w:hAnsi="Times New Roman" w:eastAsia="仿宋GB2312"/>
          <w:sz w:val="28"/>
          <w:szCs w:val="28"/>
        </w:rPr>
      </w:pPr>
      <w:r>
        <w:rPr>
          <w:rFonts w:hint="eastAsia" w:ascii="宋体" w:hAnsi="宋体" w:eastAsia="宋体" w:cs="宋体"/>
          <w:b/>
          <w:bCs/>
          <w:sz w:val="28"/>
          <w:szCs w:val="28"/>
        </w:rPr>
        <w:t>14</w:t>
      </w:r>
      <w:r>
        <w:rPr>
          <w:rFonts w:hint="eastAsia" w:ascii="Times New Roman" w:hAnsi="Times New Roman" w:eastAsia="仿宋GB2312"/>
          <w:b/>
          <w:bCs/>
          <w:sz w:val="28"/>
          <w:szCs w:val="28"/>
        </w:rPr>
        <w:t>.</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14:paraId="3088790F">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14:paraId="19DE586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14:paraId="06D85567">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14:paraId="5C4AD190">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.准予行政许可的条件</w:t>
      </w:r>
    </w:p>
    <w:p w14:paraId="2A2B8AB8">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已按照批准的工程设计和有关合同约定的各项内容建设完成，各合同段交工验收合格；建设项目有尾留工程的，尾留工程不得影响建设项目的投产使用，尾留工程投资额可以根据实际测算投资额或者按照工程概算所列的投资额列入竣工决算报告，但不超过工程总投资的</w:t>
      </w:r>
      <w:r>
        <w:rPr>
          <w:rFonts w:hint="eastAsia" w:ascii="宋体" w:hAnsi="宋体" w:eastAsia="宋体" w:cs="宋体"/>
          <w:sz w:val="28"/>
          <w:szCs w:val="28"/>
        </w:rPr>
        <w:t>5</w:t>
      </w:r>
      <w:r>
        <w:rPr>
          <w:rFonts w:ascii="方正仿宋_GBK" w:hAnsi="方正仿宋_GBK" w:eastAsia="方正仿宋_GBK" w:cs="方正仿宋_GBK"/>
          <w:sz w:val="28"/>
          <w:szCs w:val="28"/>
        </w:rPr>
        <w:t>%；</w:t>
      </w:r>
    </w:p>
    <w:p w14:paraId="147805A6">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主要工艺设备或者设施通过调试具备生产条件；</w:t>
      </w:r>
    </w:p>
    <w:p w14:paraId="357F38FB">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环境保护设施、安全设施、职业病防护设施、消防设施已按照有关规定通过验收或者备案；航标设施以及其他辅助性设施已按照《中华人民共和国港口法》的规定，与港口工程同时建设，并保证按期投入使用；</w:t>
      </w:r>
    </w:p>
    <w:p w14:paraId="5E3BEF82">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竣工档案资料齐全，并通过专项验收；</w:t>
      </w:r>
    </w:p>
    <w:p w14:paraId="1B611D56">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(5</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竣工决算报告编制完成，按照国家有关规定需要审计的，已完成审计；</w:t>
      </w:r>
    </w:p>
    <w:p w14:paraId="2D706770">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(6</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廉政建设合同已履行。</w:t>
      </w:r>
    </w:p>
    <w:p w14:paraId="2E31874F">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w:t>
      </w:r>
      <w:r>
        <w:rPr>
          <w:rFonts w:ascii="Times New Roman" w:hAnsi="Times New Roman" w:eastAsia="仿宋GB2312"/>
          <w:b/>
          <w:bCs/>
          <w:sz w:val="28"/>
          <w:szCs w:val="28"/>
        </w:rPr>
        <w:t>规定行政许可条件的依据</w:t>
      </w:r>
    </w:p>
    <w:p w14:paraId="673086E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《港口工程建设管理规定》（交通运输部令</w:t>
      </w:r>
      <w:r>
        <w:rPr>
          <w:rFonts w:hint="eastAsia" w:ascii="宋体" w:hAnsi="宋体" w:eastAsia="宋体" w:cs="宋体"/>
          <w:sz w:val="28"/>
          <w:szCs w:val="28"/>
        </w:rPr>
        <w:t>2019</w:t>
      </w:r>
      <w:r>
        <w:rPr>
          <w:rFonts w:ascii="方正仿宋_GBK" w:hAnsi="方正仿宋_GBK" w:eastAsia="方正仿宋_GBK" w:cs="方正仿宋_GBK"/>
          <w:sz w:val="28"/>
          <w:szCs w:val="28"/>
        </w:rPr>
        <w:t>年第</w:t>
      </w:r>
      <w:r>
        <w:rPr>
          <w:rFonts w:hint="eastAsia" w:ascii="宋体" w:hAnsi="宋体" w:eastAsia="宋体" w:cs="宋体"/>
          <w:sz w:val="28"/>
          <w:szCs w:val="28"/>
        </w:rPr>
        <w:t>32</w:t>
      </w:r>
      <w:r>
        <w:rPr>
          <w:rFonts w:ascii="方正仿宋_GBK" w:hAnsi="方正仿宋_GBK" w:eastAsia="方正仿宋_GBK" w:cs="方正仿宋_GBK"/>
          <w:sz w:val="28"/>
          <w:szCs w:val="28"/>
        </w:rPr>
        <w:t>号）第四十六条</w:t>
      </w:r>
    </w:p>
    <w:p w14:paraId="7B0AD93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第四十六条  港口工程建设项目竣工验收应当具备以下条件：</w:t>
      </w:r>
    </w:p>
    <w:p w14:paraId="601257D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已按照批准的工程设计和有关合同约定的各项内容建设完成，各合同段交工验收合格；建设项目有尾留工程的，尾留工程不得影响建设项目的投产使用，尾留工程投资额可以根据实际测算投资额或者按照工程概算所列的投资额列入竣工决算报告，但不超过工程总投资的</w:t>
      </w:r>
      <w:r>
        <w:rPr>
          <w:rFonts w:hint="eastAsia" w:ascii="宋体" w:hAnsi="宋体" w:eastAsia="宋体" w:cs="宋体"/>
          <w:sz w:val="28"/>
          <w:szCs w:val="28"/>
        </w:rPr>
        <w:t>5</w:t>
      </w:r>
      <w:r>
        <w:rPr>
          <w:rFonts w:ascii="方正仿宋_GBK" w:hAnsi="方正仿宋_GBK" w:eastAsia="方正仿宋_GBK" w:cs="方正仿宋_GBK"/>
          <w:sz w:val="28"/>
          <w:szCs w:val="28"/>
        </w:rPr>
        <w:t>%；</w:t>
      </w:r>
    </w:p>
    <w:p w14:paraId="4E57635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（二）主要工艺设备或者设施通过调试具备生产条件；</w:t>
      </w:r>
    </w:p>
    <w:p w14:paraId="516C322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环境保护设施、安全设施、职业病防护设施、消防设施已按照有关规定通过验收或者备案；航标设施以及其他辅助性设施已按照《中华人民共和国港口法》的规定，与港口工程同时建设，并保证按期投入使用；</w:t>
      </w:r>
    </w:p>
    <w:p w14:paraId="74B6313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（四）竣工档案资料齐全，并通过专项验收；</w:t>
      </w:r>
    </w:p>
    <w:p w14:paraId="5790D744">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（五）竣工决算报告编制完成，按照国家有关规定需要审计的，已完成审计；</w:t>
      </w:r>
    </w:p>
    <w:p w14:paraId="039B8E9A">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（六）廉政建设合同已履行。</w:t>
      </w:r>
    </w:p>
    <w:p w14:paraId="617784E3">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14:paraId="4AF0A5CF">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.服务对象类型：</w:t>
      </w:r>
      <w:r>
        <w:rPr>
          <w:rFonts w:ascii="方正仿宋_GBK" w:hAnsi="方正仿宋_GBK" w:eastAsia="方正仿宋_GBK" w:cs="方正仿宋_GBK"/>
          <w:sz w:val="28"/>
          <w:szCs w:val="28"/>
        </w:rPr>
        <w:t>企业法人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事业单位法人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非法人企业</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行政机关</w:t>
      </w:r>
    </w:p>
    <w:p w14:paraId="40054AA6">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.是否为涉企许可事项：</w:t>
      </w:r>
      <w:r>
        <w:rPr>
          <w:rFonts w:ascii="方正仿宋_GBK" w:hAnsi="方正仿宋_GBK" w:eastAsia="方正仿宋_GBK" w:cs="方正仿宋_GBK"/>
          <w:sz w:val="28"/>
          <w:szCs w:val="28"/>
        </w:rPr>
        <w:t>否</w:t>
      </w:r>
    </w:p>
    <w:p w14:paraId="29C39A85">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.涉企经营许可事项名称：</w:t>
      </w:r>
      <w:r>
        <w:rPr>
          <w:rFonts w:ascii="方正仿宋_GBK" w:hAnsi="方正仿宋_GBK" w:eastAsia="方正仿宋_GBK" w:cs="方正仿宋_GBK"/>
          <w:sz w:val="28"/>
          <w:szCs w:val="28"/>
        </w:rPr>
        <w:t>无</w:t>
      </w:r>
    </w:p>
    <w:p w14:paraId="30093E37">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.许可证件名称：</w:t>
      </w:r>
      <w:r>
        <w:rPr>
          <w:rFonts w:ascii="方正仿宋_GBK" w:hAnsi="方正仿宋_GBK" w:eastAsia="方正仿宋_GBK" w:cs="方正仿宋_GBK"/>
          <w:sz w:val="28"/>
          <w:szCs w:val="28"/>
        </w:rPr>
        <w:t>无</w:t>
      </w:r>
    </w:p>
    <w:p w14:paraId="0D7DA8AE">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.改革方式：</w:t>
      </w:r>
      <w:r>
        <w:rPr>
          <w:rFonts w:hint="eastAsia" w:ascii="方正仿宋_GBK" w:hAnsi="方正仿宋_GBK" w:eastAsia="方正仿宋_GBK" w:cs="方正仿宋_GBK"/>
          <w:sz w:val="28"/>
          <w:szCs w:val="28"/>
        </w:rPr>
        <w:t>无</w:t>
      </w:r>
    </w:p>
    <w:p w14:paraId="590D69F6">
      <w:pPr>
        <w:spacing w:line="540" w:lineRule="exact"/>
        <w:ind w:firstLine="562" w:firstLineChars="200"/>
        <w:rPr>
          <w:rFonts w:ascii="Times New Roman" w:hAnsi="Times New Roman" w:eastAsia="仿宋GB2312"/>
          <w:b/>
          <w:bCs/>
          <w:sz w:val="28"/>
          <w:szCs w:val="28"/>
        </w:rPr>
      </w:pPr>
      <w:r>
        <w:rPr>
          <w:rFonts w:hint="eastAsia" w:ascii="宋体" w:hAnsi="宋体" w:eastAsia="宋体" w:cs="宋体"/>
          <w:b/>
          <w:bCs/>
          <w:sz w:val="28"/>
          <w:szCs w:val="28"/>
        </w:rPr>
        <w:t>6</w:t>
      </w:r>
      <w:r>
        <w:rPr>
          <w:rFonts w:hint="eastAsia" w:ascii="Times New Roman" w:hAnsi="Times New Roman" w:eastAsia="仿宋GB2312"/>
          <w:b/>
          <w:bCs/>
          <w:sz w:val="28"/>
          <w:szCs w:val="28"/>
        </w:rPr>
        <w:t>.具体改革举措</w:t>
      </w:r>
    </w:p>
    <w:p w14:paraId="2A126F8C">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将承诺审批时限由</w:t>
      </w:r>
      <w:r>
        <w:rPr>
          <w:rFonts w:hint="eastAsia" w:ascii="宋体" w:hAnsi="宋体" w:eastAsia="宋体" w:cs="宋体"/>
          <w:sz w:val="28"/>
          <w:szCs w:val="28"/>
        </w:rPr>
        <w:t>20</w:t>
      </w:r>
      <w:r>
        <w:rPr>
          <w:rFonts w:ascii="方正仿宋_GBK" w:hAnsi="方正仿宋_GBK" w:eastAsia="方正仿宋_GBK" w:cs="方正仿宋_GBK"/>
          <w:sz w:val="28"/>
          <w:szCs w:val="28"/>
        </w:rPr>
        <w:t>个工作日压减至</w:t>
      </w:r>
      <w:r>
        <w:rPr>
          <w:rFonts w:hint="eastAsia" w:ascii="宋体" w:hAnsi="宋体" w:eastAsia="宋体" w:cs="宋体"/>
          <w:sz w:val="28"/>
          <w:szCs w:val="28"/>
        </w:rPr>
        <w:t>8</w:t>
      </w:r>
      <w:r>
        <w:rPr>
          <w:rFonts w:ascii="方正仿宋_GBK" w:hAnsi="方正仿宋_GBK" w:eastAsia="方正仿宋_GBK" w:cs="方正仿宋_GBK"/>
          <w:sz w:val="28"/>
          <w:szCs w:val="28"/>
        </w:rPr>
        <w:t>个工作日。</w:t>
      </w:r>
    </w:p>
    <w:p w14:paraId="2CF974D1">
      <w:pPr>
        <w:spacing w:line="540" w:lineRule="exact"/>
        <w:ind w:firstLine="562" w:firstLineChars="200"/>
        <w:rPr>
          <w:rFonts w:ascii="Times New Roman" w:hAnsi="Times New Roman" w:eastAsia="仿宋GB2312"/>
          <w:b/>
          <w:bCs/>
          <w:sz w:val="28"/>
          <w:szCs w:val="28"/>
        </w:rPr>
      </w:pPr>
      <w:r>
        <w:rPr>
          <w:rFonts w:hint="eastAsia" w:ascii="宋体" w:hAnsi="宋体" w:eastAsia="宋体" w:cs="宋体"/>
          <w:b/>
          <w:bCs/>
          <w:sz w:val="28"/>
          <w:szCs w:val="28"/>
        </w:rPr>
        <w:t>7</w:t>
      </w:r>
      <w:r>
        <w:rPr>
          <w:rFonts w:hint="eastAsia" w:ascii="Times New Roman" w:hAnsi="Times New Roman" w:eastAsia="仿宋GB2312"/>
          <w:b/>
          <w:bCs/>
          <w:sz w:val="28"/>
          <w:szCs w:val="28"/>
        </w:rPr>
        <w:t>.加强事中事后监管措施</w:t>
      </w:r>
    </w:p>
    <w:p w14:paraId="67163CA2">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严格按照法律法规规定履行监管责任，建立水运建设项目管理台账，推进事中事后监管制度化、规范化。</w:t>
      </w:r>
    </w:p>
    <w:p w14:paraId="241880D5">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结合建设市场督查，加强对竣工验收工作的监管，推进“双随机、一公开”监督方式，增强监管科学性、公正性。</w:t>
      </w:r>
    </w:p>
    <w:p w14:paraId="4368EB5C">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在全国投资项目在线审批平台等政务系统中办理，接受社会监督。</w:t>
      </w:r>
    </w:p>
    <w:p w14:paraId="68C42606">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14:paraId="6C5EC103">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.申请材料名称</w:t>
      </w:r>
    </w:p>
    <w:p w14:paraId="21E723F3">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宋体" w:hAnsi="宋体" w:eastAsia="宋体" w:cs="宋体"/>
          <w:sz w:val="28"/>
          <w:szCs w:val="28"/>
        </w:rPr>
        <w:t>1</w:t>
      </w:r>
      <w:r>
        <w:rPr>
          <w:rFonts w:hint="eastAsia" w:ascii="方正仿宋_GBK" w:hAnsi="方正仿宋_GBK" w:eastAsia="方正仿宋_GBK" w:cs="方正仿宋_GBK"/>
          <w:sz w:val="28"/>
          <w:szCs w:val="28"/>
        </w:rPr>
        <w:t>）申请文件；</w:t>
      </w:r>
    </w:p>
    <w:p w14:paraId="6B877554">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宋体" w:hAnsi="宋体" w:eastAsia="宋体" w:cs="宋体"/>
          <w:sz w:val="28"/>
          <w:szCs w:val="28"/>
        </w:rPr>
        <w:t>2</w:t>
      </w:r>
      <w:r>
        <w:rPr>
          <w:rFonts w:hint="eastAsia" w:ascii="方正仿宋_GBK" w:hAnsi="方正仿宋_GBK" w:eastAsia="方正仿宋_GBK" w:cs="方正仿宋_GBK"/>
          <w:sz w:val="28"/>
          <w:szCs w:val="28"/>
        </w:rPr>
        <w:t>）竣工验收报告。</w:t>
      </w:r>
    </w:p>
    <w:p w14:paraId="7041497A">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w:t>
      </w:r>
      <w:r>
        <w:rPr>
          <w:rFonts w:ascii="Times New Roman" w:hAnsi="Times New Roman" w:eastAsia="仿宋GB2312"/>
          <w:b/>
          <w:bCs/>
          <w:sz w:val="28"/>
          <w:szCs w:val="28"/>
        </w:rPr>
        <w:t>规定申请材料的依据</w:t>
      </w:r>
    </w:p>
    <w:p w14:paraId="6E7DCE31">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宋体" w:hAnsi="宋体" w:eastAsia="宋体" w:cs="宋体"/>
          <w:sz w:val="28"/>
          <w:szCs w:val="28"/>
        </w:rPr>
        <w:t>1</w:t>
      </w:r>
      <w:r>
        <w:rPr>
          <w:rFonts w:hint="eastAsia" w:ascii="方正仿宋_GBK" w:hAnsi="方正仿宋_GBK" w:eastAsia="方正仿宋_GBK" w:cs="方正仿宋_GBK"/>
          <w:sz w:val="28"/>
          <w:szCs w:val="28"/>
        </w:rPr>
        <w:t>）《港口工程建设管理规定》（交通运输部令</w:t>
      </w:r>
      <w:r>
        <w:rPr>
          <w:rFonts w:hint="eastAsia" w:ascii="宋体" w:hAnsi="宋体" w:eastAsia="宋体" w:cs="宋体"/>
          <w:sz w:val="28"/>
          <w:szCs w:val="28"/>
        </w:rPr>
        <w:t>2019</w:t>
      </w:r>
      <w:r>
        <w:rPr>
          <w:rFonts w:hint="eastAsia" w:ascii="方正仿宋_GBK" w:hAnsi="方正仿宋_GBK" w:eastAsia="方正仿宋_GBK" w:cs="方正仿宋_GBK"/>
          <w:sz w:val="28"/>
          <w:szCs w:val="28"/>
        </w:rPr>
        <w:t>年第</w:t>
      </w:r>
      <w:r>
        <w:rPr>
          <w:rFonts w:hint="eastAsia" w:ascii="宋体" w:hAnsi="宋体" w:eastAsia="宋体" w:cs="宋体"/>
          <w:sz w:val="28"/>
          <w:szCs w:val="28"/>
        </w:rPr>
        <w:t>32</w:t>
      </w:r>
      <w:r>
        <w:rPr>
          <w:rFonts w:hint="eastAsia" w:ascii="方正仿宋_GBK" w:hAnsi="方正仿宋_GBK" w:eastAsia="方正仿宋_GBK" w:cs="方正仿宋_GBK"/>
          <w:sz w:val="28"/>
          <w:szCs w:val="28"/>
        </w:rPr>
        <w:t>号）第四十七条</w:t>
      </w:r>
    </w:p>
    <w:p w14:paraId="00DD1DB2">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第四十七条  项目单位向所在地港口行政管理部门申请竣工验收，应当提交以下材料：</w:t>
      </w:r>
    </w:p>
    <w:p w14:paraId="7E2632DC">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（一）申请文件；</w:t>
      </w:r>
    </w:p>
    <w:p w14:paraId="69DC629F">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（二）竣工验收报告。</w:t>
      </w:r>
    </w:p>
    <w:p w14:paraId="698524A3">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14:paraId="46E822A9">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.有无法定中介服务事项：</w:t>
      </w:r>
      <w:r>
        <w:rPr>
          <w:rFonts w:ascii="方正仿宋_GBK" w:hAnsi="方正仿宋_GBK" w:eastAsia="方正仿宋_GBK" w:cs="方正仿宋_GBK"/>
          <w:sz w:val="28"/>
          <w:szCs w:val="28"/>
        </w:rPr>
        <w:t>无</w:t>
      </w:r>
    </w:p>
    <w:p w14:paraId="71BF932E">
      <w:pPr>
        <w:spacing w:line="600" w:lineRule="exact"/>
        <w:ind w:firstLine="562" w:firstLineChars="200"/>
        <w:rPr>
          <w:rFonts w:ascii="方正仿宋_GBK" w:hAnsi="方正仿宋_GBK" w:eastAsia="方正仿宋_GBK" w:cs="方正仿宋_GBK"/>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1EFC3A6F">
      <w:pPr>
        <w:spacing w:line="600" w:lineRule="exact"/>
        <w:ind w:firstLine="562" w:firstLineChars="200"/>
        <w:rPr>
          <w:rFonts w:ascii="Times New Roman" w:hAnsi="Times New Roman" w:eastAsia="仿宋GB2312"/>
          <w:b/>
          <w:bCs/>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w:t>
      </w:r>
      <w:r>
        <w:rPr>
          <w:rFonts w:ascii="Times New Roman" w:hAnsi="Times New Roman" w:eastAsia="仿宋GB2312"/>
          <w:b/>
          <w:bCs/>
          <w:sz w:val="28"/>
          <w:szCs w:val="28"/>
        </w:rPr>
        <w:t>设定中介服务事项的依据</w:t>
      </w:r>
    </w:p>
    <w:p w14:paraId="073355CB">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14:paraId="4E3FCD44">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54A30D2E">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41EC820D">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14:paraId="6D4B6AE3">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.办理行政许可的程序环节</w:t>
      </w:r>
    </w:p>
    <w:p w14:paraId="42714841">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申请人申请。</w:t>
      </w:r>
    </w:p>
    <w:p w14:paraId="41666C01">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审批机构受理/不予受理。</w:t>
      </w:r>
    </w:p>
    <w:p w14:paraId="2E6A33A9">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竣工验收现场核查组对工程进行现场核查。</w:t>
      </w:r>
    </w:p>
    <w:p w14:paraId="05DCA699">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宋体" w:cs="宋体"/>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审批机构审查，决定核发/不予核发《港口工程竣工验收证书》。</w:t>
      </w:r>
    </w:p>
    <w:p w14:paraId="6043A0B9">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.规定行政许可程序的依据</w:t>
      </w:r>
    </w:p>
    <w:p w14:paraId="6F2F816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《港口工程建设管理规定》（交通运输部令</w:t>
      </w:r>
      <w:r>
        <w:rPr>
          <w:rFonts w:hint="eastAsia" w:ascii="宋体" w:hAnsi="宋体" w:eastAsia="宋体" w:cs="宋体"/>
          <w:sz w:val="28"/>
          <w:szCs w:val="28"/>
        </w:rPr>
        <w:t>2019</w:t>
      </w:r>
      <w:r>
        <w:rPr>
          <w:rFonts w:ascii="方正仿宋_GBK" w:hAnsi="方正仿宋_GBK" w:eastAsia="方正仿宋_GBK" w:cs="方正仿宋_GBK"/>
          <w:sz w:val="28"/>
          <w:szCs w:val="28"/>
        </w:rPr>
        <w:t>年第</w:t>
      </w:r>
      <w:r>
        <w:rPr>
          <w:rFonts w:hint="eastAsia" w:ascii="宋体" w:hAnsi="宋体" w:eastAsia="宋体" w:cs="宋体"/>
          <w:sz w:val="28"/>
          <w:szCs w:val="28"/>
        </w:rPr>
        <w:t>32</w:t>
      </w:r>
      <w:r>
        <w:rPr>
          <w:rFonts w:ascii="方正仿宋_GBK" w:hAnsi="方正仿宋_GBK" w:eastAsia="方正仿宋_GBK" w:cs="方正仿宋_GBK"/>
          <w:sz w:val="28"/>
          <w:szCs w:val="28"/>
        </w:rPr>
        <w:t>号）第四十三条、第四十四条、第五十条</w:t>
      </w:r>
    </w:p>
    <w:p w14:paraId="18FFC779">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第四十三条  国家重点水运工程建设项目由项目单位向省级交通运输主管部门申请竣工验收。前款规定以外的港口工程建设项目，属于政府投资的，由项目单位向所在地港口行政管理部门申请竣工验收；属于企业投资的，由项目单位组织竣工验收。所在地港口行政管理部门应当加强对项目单位验收活动和验收结果的监督核查。</w:t>
      </w:r>
    </w:p>
    <w:p w14:paraId="186B084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第四十四条  省级交通运输主管部门或者所在地港口行政管理部门应当按照国家规定的程序和时限完成港口工程竣工验收。竣工验收合格的，应当签发《港口工程竣工验收证书》。</w:t>
      </w:r>
    </w:p>
    <w:p w14:paraId="1304835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第五十条  港口工程建设项目竣工验收应当成立竣工验收现场核查组对工程进行现场核查…</w:t>
      </w:r>
    </w:p>
    <w:p w14:paraId="5C480E10">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03F99854">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6D7A4402">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71182E4A">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6</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28C26B27">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7</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15F97533">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8</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1019625C">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9</w:t>
      </w:r>
      <w:r>
        <w:rPr>
          <w:rFonts w:hint="eastAsia" w:ascii="Times New Roman" w:hAnsi="Times New Roman" w:eastAsia="仿宋GB2312"/>
          <w:b/>
          <w:bCs/>
          <w:sz w:val="28"/>
          <w:szCs w:val="28"/>
        </w:rPr>
        <w:t>.</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61E72E23">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10</w:t>
      </w:r>
      <w:r>
        <w:rPr>
          <w:rFonts w:hint="eastAsia" w:ascii="Times New Roman" w:hAnsi="Times New Roman" w:eastAsia="仿宋GB2312"/>
          <w:b/>
          <w:bCs/>
          <w:sz w:val="28"/>
          <w:szCs w:val="28"/>
        </w:rPr>
        <w:t>.</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1A8E6DDF">
      <w:pPr>
        <w:spacing w:line="600" w:lineRule="exact"/>
        <w:ind w:firstLine="562" w:firstLineChars="200"/>
        <w:rPr>
          <w:rFonts w:ascii="Times New Roman" w:hAnsi="Times New Roman" w:eastAsia="仿宋GB2312"/>
          <w:b/>
          <w:bCs/>
          <w:sz w:val="28"/>
          <w:szCs w:val="28"/>
        </w:rPr>
      </w:pPr>
      <w:r>
        <w:rPr>
          <w:rFonts w:hint="eastAsia" w:ascii="宋体" w:hAnsi="宋体" w:eastAsia="宋体" w:cs="宋体"/>
          <w:b/>
          <w:bCs/>
          <w:sz w:val="28"/>
          <w:szCs w:val="28"/>
        </w:rPr>
        <w:t>11</w:t>
      </w:r>
      <w:r>
        <w:rPr>
          <w:rFonts w:hint="eastAsia" w:ascii="Times New Roman" w:hAnsi="Times New Roman" w:eastAsia="仿宋GB2312"/>
          <w:b/>
          <w:bCs/>
          <w:sz w:val="28"/>
          <w:szCs w:val="28"/>
        </w:rPr>
        <w:t>.审批机关是否委托服务机构开展技术性服务：</w:t>
      </w:r>
      <w:r>
        <w:rPr>
          <w:rFonts w:hint="eastAsia" w:ascii="方正仿宋_GBK" w:hAnsi="方正仿宋_GBK" w:eastAsia="方正仿宋_GBK" w:cs="方正仿宋_GBK"/>
          <w:sz w:val="28"/>
          <w:szCs w:val="28"/>
        </w:rPr>
        <w:t>否</w:t>
      </w:r>
    </w:p>
    <w:p w14:paraId="01B50AFA">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14:paraId="2D45CA96">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.承诺受理时限：</w:t>
      </w:r>
      <w:r>
        <w:rPr>
          <w:rFonts w:hint="eastAsia" w:ascii="宋体" w:hAnsi="宋体" w:eastAsia="宋体" w:cs="宋体"/>
          <w:sz w:val="28"/>
          <w:szCs w:val="28"/>
        </w:rPr>
        <w:t>0</w:t>
      </w:r>
      <w:r>
        <w:rPr>
          <w:rFonts w:ascii="方正仿宋_GBK" w:hAnsi="方正仿宋_GBK" w:eastAsia="方正仿宋_GBK" w:cs="方正仿宋_GBK"/>
          <w:sz w:val="28"/>
          <w:szCs w:val="28"/>
        </w:rPr>
        <w:t>个工作日</w:t>
      </w:r>
    </w:p>
    <w:p w14:paraId="350F75DA">
      <w:pPr>
        <w:spacing w:line="540" w:lineRule="exact"/>
        <w:ind w:firstLine="562" w:firstLineChars="200"/>
        <w:outlineLvl w:val="2"/>
        <w:rPr>
          <w:rFonts w:ascii="Times New Roman" w:hAnsi="Times New Roman" w:eastAsia="仿宋GB2312"/>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.法定审批时限：</w:t>
      </w:r>
      <w:r>
        <w:rPr>
          <w:rFonts w:hint="eastAsia" w:ascii="宋体" w:hAnsi="宋体" w:eastAsia="宋体" w:cs="宋体"/>
          <w:sz w:val="28"/>
          <w:szCs w:val="28"/>
        </w:rPr>
        <w:t>20</w:t>
      </w:r>
      <w:r>
        <w:rPr>
          <w:rFonts w:hint="eastAsia" w:ascii="方正仿宋_GBK" w:hAnsi="方正仿宋_GBK" w:eastAsia="方正仿宋_GBK" w:cs="方正仿宋_GBK"/>
          <w:sz w:val="28"/>
          <w:szCs w:val="28"/>
        </w:rPr>
        <w:t>个工作日</w:t>
      </w:r>
    </w:p>
    <w:p w14:paraId="1155C006">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.规定法定审批时限依据</w:t>
      </w:r>
    </w:p>
    <w:p w14:paraId="1BE5214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中华人民共和国</w:t>
      </w:r>
      <w:r>
        <w:rPr>
          <w:rFonts w:ascii="方正仿宋_GBK" w:hAnsi="方正仿宋_GBK" w:eastAsia="方正仿宋_GBK" w:cs="方正仿宋_GBK"/>
          <w:sz w:val="28"/>
          <w:szCs w:val="28"/>
        </w:rPr>
        <w:t>行政许可法》第四十二条、第四十五条</w:t>
      </w:r>
    </w:p>
    <w:p w14:paraId="7D860E38">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第四十二条  除可以当场作出行政许可决定的外，行政机关应当自受理行政许可申请之日起二十日内作出行政许可决定。</w:t>
      </w:r>
    </w:p>
    <w:p w14:paraId="78D5754B">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第四十五条 行政机关作出行政许可决定，依法需要听证、招标、拍卖、检验、检测、检疫、鉴定和专家评审的，所需时间不计算在本节规定的期限内。行政机关应当将所需时间书面告知申请人。</w:t>
      </w:r>
    </w:p>
    <w:p w14:paraId="1A432524">
      <w:pPr>
        <w:spacing w:line="600" w:lineRule="exact"/>
        <w:ind w:firstLine="562" w:firstLineChars="200"/>
        <w:rPr>
          <w:rFonts w:ascii="方正仿宋_GBK" w:hAnsi="方正仿宋_GBK" w:eastAsia="方正仿宋_GBK" w:cs="方正仿宋_GBK"/>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.承诺审批时限：</w:t>
      </w:r>
      <w:r>
        <w:rPr>
          <w:rFonts w:hint="eastAsia" w:ascii="宋体" w:hAnsi="宋体" w:eastAsia="宋体" w:cs="宋体"/>
          <w:sz w:val="28"/>
          <w:szCs w:val="28"/>
        </w:rPr>
        <w:t>8</w:t>
      </w:r>
      <w:r>
        <w:rPr>
          <w:rFonts w:ascii="方正仿宋_GBK" w:hAnsi="方正仿宋_GBK" w:eastAsia="方正仿宋_GBK" w:cs="方正仿宋_GBK"/>
          <w:sz w:val="28"/>
          <w:szCs w:val="28"/>
        </w:rPr>
        <w:t>个工作日</w:t>
      </w:r>
    </w:p>
    <w:p w14:paraId="5D8187C2">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依法进行现场核查另需时间不计算在该时限</w:t>
      </w:r>
      <w:r>
        <w:rPr>
          <w:rFonts w:hint="eastAsia" w:ascii="方正仿宋_GBK" w:hAnsi="方正仿宋_GBK" w:eastAsia="方正仿宋_GBK" w:cs="方正仿宋_GBK"/>
          <w:sz w:val="28"/>
          <w:szCs w:val="28"/>
        </w:rPr>
        <w:t>。</w:t>
      </w:r>
    </w:p>
    <w:p w14:paraId="4C75A559">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14:paraId="2FA86D6E">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.办理行政许可是否收费：</w:t>
      </w:r>
      <w:r>
        <w:rPr>
          <w:rFonts w:hint="eastAsia" w:ascii="方正仿宋_GBK" w:hAnsi="方正仿宋_GBK" w:eastAsia="方正仿宋_GBK" w:cs="方正仿宋_GBK"/>
          <w:sz w:val="28"/>
          <w:szCs w:val="28"/>
        </w:rPr>
        <w:t>否</w:t>
      </w:r>
    </w:p>
    <w:p w14:paraId="40E378A8">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.收费项目的名称、收费项目的标准、设定收费项目的依据、规定收费标准的依据</w:t>
      </w:r>
    </w:p>
    <w:p w14:paraId="3B8B8BF8">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091CE457">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14:paraId="552AE589">
      <w:pPr>
        <w:spacing w:line="540" w:lineRule="exact"/>
        <w:ind w:firstLine="562" w:firstLineChars="200"/>
        <w:outlineLvl w:val="2"/>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.审批结果类型：</w:t>
      </w:r>
      <w:r>
        <w:rPr>
          <w:rFonts w:ascii="方正仿宋_GBK" w:hAnsi="方正仿宋_GBK" w:eastAsia="方正仿宋_GBK" w:cs="方正仿宋_GBK"/>
          <w:sz w:val="28"/>
          <w:szCs w:val="28"/>
        </w:rPr>
        <w:t>证照</w:t>
      </w:r>
    </w:p>
    <w:p w14:paraId="4517A8A9">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.审批结果名称：</w:t>
      </w:r>
      <w:r>
        <w:rPr>
          <w:rFonts w:hint="eastAsia" w:ascii="方正仿宋_GBK" w:hAnsi="方正仿宋_GBK" w:eastAsia="方正仿宋_GBK" w:cs="方正仿宋_GBK"/>
          <w:sz w:val="28"/>
          <w:szCs w:val="28"/>
        </w:rPr>
        <w:t>《港口工程竣工验收证书》</w:t>
      </w:r>
    </w:p>
    <w:p w14:paraId="6135C777">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.审批结果的有效期限：</w:t>
      </w:r>
      <w:r>
        <w:rPr>
          <w:rFonts w:hint="eastAsia" w:ascii="方正仿宋_GBK" w:hAnsi="方正仿宋_GBK" w:eastAsia="方正仿宋_GBK" w:cs="方正仿宋_GBK"/>
          <w:sz w:val="28"/>
          <w:szCs w:val="28"/>
        </w:rPr>
        <w:t>无期限</w:t>
      </w:r>
    </w:p>
    <w:p w14:paraId="1608AF9C">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.规定审批结果有效期限的依据</w:t>
      </w:r>
    </w:p>
    <w:p w14:paraId="40F367C7">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w:t>
      </w:r>
      <w:r>
        <w:rPr>
          <w:rFonts w:hint="eastAsia" w:ascii="宋体" w:hAnsi="宋体" w:eastAsia="宋体" w:cs="宋体"/>
          <w:sz w:val="28"/>
          <w:szCs w:val="28"/>
        </w:rPr>
        <w:t>1</w:t>
      </w:r>
      <w:r>
        <w:rPr>
          <w:rFonts w:hint="eastAsia" w:ascii="方正仿宋_GBK" w:hAnsi="方正仿宋_GBK" w:eastAsia="方正仿宋_GBK" w:cs="方正仿宋_GBK"/>
          <w:sz w:val="28"/>
          <w:szCs w:val="28"/>
        </w:rPr>
        <w:t>）无</w:t>
      </w:r>
    </w:p>
    <w:p w14:paraId="6AAF70CF">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.是否需要办理审批结果变更手续：</w:t>
      </w:r>
      <w:r>
        <w:rPr>
          <w:rFonts w:ascii="方正仿宋_GBK" w:hAnsi="方正仿宋_GBK" w:eastAsia="方正仿宋_GBK" w:cs="方正仿宋_GBK"/>
          <w:sz w:val="28"/>
          <w:szCs w:val="28"/>
        </w:rPr>
        <w:t>否</w:t>
      </w:r>
    </w:p>
    <w:p w14:paraId="1D6A79CC">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6</w:t>
      </w:r>
      <w:r>
        <w:rPr>
          <w:rFonts w:hint="eastAsia" w:ascii="Times New Roman" w:hAnsi="Times New Roman" w:eastAsia="仿宋GB2312"/>
          <w:b/>
          <w:bCs/>
          <w:sz w:val="28"/>
          <w:szCs w:val="28"/>
        </w:rPr>
        <w:t>.办理审批结果变更手续的要求</w:t>
      </w:r>
    </w:p>
    <w:p w14:paraId="7941466E">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6CEDD2B7">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7</w:t>
      </w:r>
      <w:r>
        <w:rPr>
          <w:rFonts w:hint="eastAsia" w:ascii="Times New Roman" w:hAnsi="Times New Roman" w:eastAsia="仿宋GB2312"/>
          <w:b/>
          <w:bCs/>
          <w:sz w:val="28"/>
          <w:szCs w:val="28"/>
        </w:rPr>
        <w:t>.是否需要办理审批结果延续手续：</w:t>
      </w:r>
      <w:r>
        <w:rPr>
          <w:rFonts w:hint="eastAsia" w:ascii="方正仿宋_GBK" w:hAnsi="方正仿宋_GBK" w:eastAsia="方正仿宋_GBK" w:cs="方正仿宋_GBK"/>
          <w:sz w:val="28"/>
          <w:szCs w:val="28"/>
        </w:rPr>
        <w:t>否</w:t>
      </w:r>
    </w:p>
    <w:p w14:paraId="11A68D3D">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8</w:t>
      </w:r>
      <w:r>
        <w:rPr>
          <w:rFonts w:hint="eastAsia" w:ascii="Times New Roman" w:hAnsi="Times New Roman" w:eastAsia="仿宋GB2312"/>
          <w:b/>
          <w:bCs/>
          <w:sz w:val="28"/>
          <w:szCs w:val="28"/>
        </w:rPr>
        <w:t>.办理审批结果延续手续的要求</w:t>
      </w:r>
    </w:p>
    <w:p w14:paraId="2E44D073">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3CF348A7">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9</w:t>
      </w:r>
      <w:r>
        <w:rPr>
          <w:rFonts w:hint="eastAsia" w:ascii="Times New Roman" w:hAnsi="Times New Roman" w:eastAsia="仿宋GB2312"/>
          <w:b/>
          <w:bCs/>
          <w:sz w:val="28"/>
          <w:szCs w:val="28"/>
        </w:rPr>
        <w:t>.审批结果的有效地域范围</w:t>
      </w:r>
    </w:p>
    <w:p w14:paraId="04CB76D2">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14:paraId="2A18872E">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10</w:t>
      </w:r>
      <w:r>
        <w:rPr>
          <w:rFonts w:hint="eastAsia" w:ascii="Times New Roman" w:hAnsi="Times New Roman" w:eastAsia="仿宋GB2312"/>
          <w:b/>
          <w:bCs/>
          <w:sz w:val="28"/>
          <w:szCs w:val="28"/>
        </w:rPr>
        <w:t>.规定审批结果有效地域范围的依据</w:t>
      </w:r>
    </w:p>
    <w:p w14:paraId="12F105F6">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w:t>
      </w:r>
      <w:r>
        <w:rPr>
          <w:rFonts w:hint="eastAsia" w:ascii="宋体" w:hAnsi="宋体" w:eastAsia="宋体" w:cs="宋体"/>
          <w:sz w:val="28"/>
          <w:szCs w:val="28"/>
        </w:rPr>
        <w:t>1</w:t>
      </w:r>
      <w:r>
        <w:rPr>
          <w:rFonts w:hint="eastAsia" w:ascii="方正仿宋_GBK" w:hAnsi="方正仿宋_GBK" w:eastAsia="方正仿宋_GBK" w:cs="方正仿宋_GBK"/>
          <w:sz w:val="28"/>
          <w:szCs w:val="28"/>
        </w:rPr>
        <w:t>）无</w:t>
      </w:r>
    </w:p>
    <w:p w14:paraId="3839843E">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14:paraId="28B7D715">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.有无行政许可数量限制：</w:t>
      </w:r>
      <w:r>
        <w:rPr>
          <w:rFonts w:hint="eastAsia" w:ascii="方正仿宋_GBK" w:hAnsi="方正仿宋_GBK" w:eastAsia="方正仿宋_GBK" w:cs="方正仿宋_GBK"/>
          <w:sz w:val="28"/>
          <w:szCs w:val="28"/>
        </w:rPr>
        <w:t>无</w:t>
      </w:r>
    </w:p>
    <w:p w14:paraId="388DC779">
      <w:pPr>
        <w:spacing w:line="540" w:lineRule="exact"/>
        <w:ind w:firstLine="562" w:firstLineChars="200"/>
        <w:outlineLvl w:val="2"/>
        <w:rPr>
          <w:rFonts w:ascii="Times New Roman" w:hAnsi="Times New Roman" w:eastAsia="仿宋GB2312"/>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.公布数量限制的方式：</w:t>
      </w:r>
      <w:r>
        <w:rPr>
          <w:rFonts w:hint="eastAsia" w:ascii="方正仿宋_GBK" w:hAnsi="方正仿宋_GBK" w:eastAsia="方正仿宋_GBK" w:cs="方正仿宋_GBK"/>
          <w:sz w:val="28"/>
          <w:szCs w:val="28"/>
        </w:rPr>
        <w:t>无</w:t>
      </w:r>
    </w:p>
    <w:p w14:paraId="15B71020">
      <w:pPr>
        <w:spacing w:line="540" w:lineRule="exact"/>
        <w:ind w:firstLine="562" w:firstLineChars="200"/>
        <w:outlineLvl w:val="2"/>
        <w:rPr>
          <w:rFonts w:ascii="Times New Roman" w:hAnsi="Times New Roman" w:eastAsia="仿宋GB2312"/>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.公布数量限制的周期：</w:t>
      </w:r>
      <w:r>
        <w:rPr>
          <w:rFonts w:hint="eastAsia" w:ascii="方正仿宋_GBK" w:hAnsi="方正仿宋_GBK" w:eastAsia="方正仿宋_GBK" w:cs="方正仿宋_GBK"/>
          <w:sz w:val="28"/>
          <w:szCs w:val="28"/>
        </w:rPr>
        <w:t>无</w:t>
      </w:r>
    </w:p>
    <w:p w14:paraId="07276845">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.在数量限制条件下实施行政许可的方式：</w:t>
      </w:r>
      <w:r>
        <w:rPr>
          <w:rFonts w:hint="eastAsia" w:ascii="方正仿宋_GBK" w:hAnsi="方正仿宋_GBK" w:eastAsia="方正仿宋_GBK" w:cs="方正仿宋_GBK"/>
          <w:sz w:val="28"/>
          <w:szCs w:val="28"/>
        </w:rPr>
        <w:t>无</w:t>
      </w:r>
    </w:p>
    <w:p w14:paraId="2E7F5840">
      <w:pPr>
        <w:spacing w:line="600" w:lineRule="exact"/>
        <w:ind w:firstLine="562" w:firstLineChars="200"/>
        <w:jc w:val="left"/>
        <w:rPr>
          <w:rFonts w:ascii="Times New Roman" w:hAnsi="Times New Roman" w:eastAsia="仿宋GB2312"/>
          <w:b/>
          <w:bCs/>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.规定在数量限制条件下实施行政许可方式的依据</w:t>
      </w:r>
    </w:p>
    <w:p w14:paraId="01A1FD50">
      <w:pPr>
        <w:spacing w:line="600" w:lineRule="exact"/>
        <w:ind w:firstLine="560" w:firstLineChars="200"/>
        <w:jc w:val="left"/>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1A9E3BC1">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14:paraId="1FE69279">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.有无年检要求：</w:t>
      </w:r>
      <w:r>
        <w:rPr>
          <w:rFonts w:hint="eastAsia" w:ascii="方正仿宋_GBK" w:hAnsi="方正仿宋_GBK" w:eastAsia="方正仿宋_GBK" w:cs="方正仿宋_GBK"/>
          <w:sz w:val="28"/>
          <w:szCs w:val="28"/>
        </w:rPr>
        <w:t>无</w:t>
      </w:r>
    </w:p>
    <w:p w14:paraId="56479BE7">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.设定年检要求的依据</w:t>
      </w:r>
    </w:p>
    <w:p w14:paraId="05E84C3E">
      <w:pPr>
        <w:spacing w:line="540" w:lineRule="exact"/>
        <w:ind w:firstLine="560" w:firstLineChars="200"/>
        <w:outlineLvl w:val="2"/>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07029974">
      <w:pPr>
        <w:spacing w:line="540" w:lineRule="exact"/>
        <w:ind w:firstLine="562" w:firstLineChars="200"/>
        <w:outlineLvl w:val="2"/>
        <w:rPr>
          <w:rFonts w:ascii="Times New Roman" w:hAnsi="Times New Roman" w:eastAsia="仿宋GB2312"/>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.年检周期：</w:t>
      </w:r>
      <w:r>
        <w:rPr>
          <w:rFonts w:hint="eastAsia" w:ascii="方正仿宋_GBK" w:hAnsi="方正仿宋_GBK" w:eastAsia="方正仿宋_GBK" w:cs="方正仿宋_GBK"/>
          <w:sz w:val="28"/>
          <w:szCs w:val="28"/>
        </w:rPr>
        <w:t>无</w:t>
      </w:r>
    </w:p>
    <w:p w14:paraId="40C25D54">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.年检是否要求报送材料：</w:t>
      </w:r>
      <w:r>
        <w:rPr>
          <w:rFonts w:hint="eastAsia" w:ascii="方正仿宋_GBK" w:hAnsi="方正仿宋_GBK" w:eastAsia="方正仿宋_GBK" w:cs="方正仿宋_GBK"/>
          <w:sz w:val="28"/>
          <w:szCs w:val="28"/>
        </w:rPr>
        <w:t>无</w:t>
      </w:r>
    </w:p>
    <w:p w14:paraId="114C507E">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5</w:t>
      </w:r>
      <w:r>
        <w:rPr>
          <w:rFonts w:hint="eastAsia" w:ascii="Times New Roman" w:hAnsi="Times New Roman" w:eastAsia="仿宋GB2312"/>
          <w:b/>
          <w:bCs/>
          <w:sz w:val="28"/>
          <w:szCs w:val="28"/>
        </w:rPr>
        <w:t>.年检报送材料名称：</w:t>
      </w:r>
      <w:r>
        <w:rPr>
          <w:rFonts w:hint="eastAsia" w:ascii="方正仿宋_GBK" w:hAnsi="方正仿宋_GBK" w:eastAsia="方正仿宋_GBK" w:cs="方正仿宋_GBK"/>
          <w:sz w:val="28"/>
          <w:szCs w:val="28"/>
        </w:rPr>
        <w:t>无</w:t>
      </w:r>
    </w:p>
    <w:p w14:paraId="0C5800C0">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6</w:t>
      </w:r>
      <w:r>
        <w:rPr>
          <w:rFonts w:hint="eastAsia" w:ascii="Times New Roman" w:hAnsi="Times New Roman" w:eastAsia="仿宋GB2312"/>
          <w:b/>
          <w:bCs/>
          <w:sz w:val="28"/>
          <w:szCs w:val="28"/>
        </w:rPr>
        <w:t>.年检是否收费：</w:t>
      </w:r>
      <w:r>
        <w:rPr>
          <w:rFonts w:hint="eastAsia" w:ascii="方正仿宋_GBK" w:hAnsi="方正仿宋_GBK" w:eastAsia="方正仿宋_GBK" w:cs="方正仿宋_GBK"/>
          <w:sz w:val="28"/>
          <w:szCs w:val="28"/>
        </w:rPr>
        <w:t>无</w:t>
      </w:r>
    </w:p>
    <w:p w14:paraId="6AD85938">
      <w:pPr>
        <w:spacing w:line="600" w:lineRule="exact"/>
        <w:ind w:firstLine="562" w:firstLineChars="200"/>
        <w:rPr>
          <w:rFonts w:ascii="Times New Roman" w:hAnsi="Times New Roman" w:eastAsia="仿宋GB2312"/>
          <w:b/>
          <w:bCs/>
          <w:sz w:val="28"/>
          <w:szCs w:val="28"/>
        </w:rPr>
      </w:pPr>
      <w:r>
        <w:rPr>
          <w:rFonts w:hint="eastAsia" w:ascii="宋体" w:hAnsi="宋体" w:eastAsia="宋体" w:cs="宋体"/>
          <w:b/>
          <w:bCs/>
          <w:sz w:val="28"/>
          <w:szCs w:val="28"/>
        </w:rPr>
        <w:t>7</w:t>
      </w:r>
      <w:r>
        <w:rPr>
          <w:rFonts w:hint="eastAsia" w:ascii="Times New Roman" w:hAnsi="Times New Roman" w:eastAsia="仿宋GB2312"/>
          <w:b/>
          <w:bCs/>
          <w:sz w:val="28"/>
          <w:szCs w:val="28"/>
        </w:rPr>
        <w:t>.年检收费项目的名称、年检收费项目的标准、设定年检收费项目的依据、规定年检项目收费标准的依据</w:t>
      </w:r>
    </w:p>
    <w:p w14:paraId="3A888D53">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3665EC12">
      <w:pPr>
        <w:spacing w:line="540" w:lineRule="exact"/>
        <w:ind w:firstLine="562" w:firstLineChars="200"/>
        <w:outlineLvl w:val="2"/>
        <w:rPr>
          <w:rFonts w:ascii="Times New Roman" w:hAnsi="Times New Roman" w:eastAsia="仿宋GB2312"/>
          <w:sz w:val="28"/>
          <w:szCs w:val="28"/>
        </w:rPr>
      </w:pPr>
      <w:r>
        <w:rPr>
          <w:rFonts w:hint="eastAsia" w:ascii="宋体" w:hAnsi="宋体" w:eastAsia="宋体" w:cs="宋体"/>
          <w:b/>
          <w:bCs/>
          <w:sz w:val="28"/>
          <w:szCs w:val="28"/>
        </w:rPr>
        <w:t>8</w:t>
      </w:r>
      <w:r>
        <w:rPr>
          <w:rFonts w:hint="eastAsia" w:ascii="Times New Roman" w:hAnsi="Times New Roman" w:eastAsia="仿宋GB2312"/>
          <w:b/>
          <w:bCs/>
          <w:sz w:val="28"/>
          <w:szCs w:val="28"/>
        </w:rPr>
        <w:t>.通过年检的证明或者标志：</w:t>
      </w:r>
      <w:r>
        <w:rPr>
          <w:rFonts w:hint="eastAsia" w:ascii="方正仿宋_GBK" w:hAnsi="方正仿宋_GBK" w:eastAsia="方正仿宋_GBK" w:cs="方正仿宋_GBK"/>
          <w:sz w:val="28"/>
          <w:szCs w:val="28"/>
        </w:rPr>
        <w:t>无</w:t>
      </w:r>
    </w:p>
    <w:p w14:paraId="2DC7A9A3">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14:paraId="16FE725E">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1</w:t>
      </w:r>
      <w:r>
        <w:rPr>
          <w:rFonts w:hint="eastAsia" w:ascii="Times New Roman" w:hAnsi="Times New Roman" w:eastAsia="仿宋GB2312"/>
          <w:b/>
          <w:bCs/>
          <w:sz w:val="28"/>
          <w:szCs w:val="28"/>
        </w:rPr>
        <w:t>.</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0D4CE3A1">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2</w:t>
      </w:r>
      <w:r>
        <w:rPr>
          <w:rFonts w:hint="eastAsia" w:ascii="Times New Roman" w:hAnsi="Times New Roman" w:eastAsia="仿宋GB2312"/>
          <w:b/>
          <w:bCs/>
          <w:sz w:val="28"/>
          <w:szCs w:val="28"/>
        </w:rPr>
        <w:t>.</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0D198D76">
      <w:pPr>
        <w:spacing w:line="540" w:lineRule="exact"/>
        <w:ind w:firstLine="562" w:firstLineChars="200"/>
        <w:outlineLvl w:val="2"/>
        <w:rPr>
          <w:rFonts w:ascii="Times New Roman" w:hAnsi="Times New Roman" w:eastAsia="仿宋GB2312"/>
          <w:b/>
          <w:bCs/>
          <w:sz w:val="28"/>
          <w:szCs w:val="28"/>
        </w:rPr>
      </w:pPr>
      <w:r>
        <w:rPr>
          <w:rFonts w:hint="eastAsia" w:ascii="宋体" w:hAnsi="宋体" w:eastAsia="宋体" w:cs="宋体"/>
          <w:b/>
          <w:bCs/>
          <w:sz w:val="28"/>
          <w:szCs w:val="28"/>
        </w:rPr>
        <w:t>3</w:t>
      </w:r>
      <w:r>
        <w:rPr>
          <w:rFonts w:hint="eastAsia" w:ascii="Times New Roman" w:hAnsi="Times New Roman" w:eastAsia="仿宋GB2312"/>
          <w:b/>
          <w:bCs/>
          <w:sz w:val="28"/>
          <w:szCs w:val="28"/>
        </w:rPr>
        <w:t>.</w:t>
      </w:r>
      <w:r>
        <w:rPr>
          <w:rFonts w:ascii="Times New Roman" w:hAnsi="Times New Roman" w:eastAsia="仿宋GB2312"/>
          <w:b/>
          <w:bCs/>
          <w:sz w:val="28"/>
          <w:szCs w:val="28"/>
        </w:rPr>
        <w:t>设定年报要求的依据</w:t>
      </w:r>
    </w:p>
    <w:p w14:paraId="7FCD8BFE">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76310786">
      <w:pPr>
        <w:spacing w:line="600" w:lineRule="exact"/>
        <w:ind w:firstLine="562" w:firstLineChars="200"/>
        <w:rPr>
          <w:rFonts w:ascii="Times New Roman" w:hAnsi="Times New Roman" w:eastAsia="仿宋GB2312"/>
          <w:sz w:val="28"/>
          <w:szCs w:val="28"/>
        </w:rPr>
      </w:pPr>
      <w:r>
        <w:rPr>
          <w:rFonts w:hint="eastAsia" w:ascii="宋体" w:hAnsi="宋体" w:eastAsia="宋体" w:cs="宋体"/>
          <w:b/>
          <w:bCs/>
          <w:sz w:val="28"/>
          <w:szCs w:val="28"/>
        </w:rPr>
        <w:t>4</w:t>
      </w:r>
      <w:r>
        <w:rPr>
          <w:rFonts w:hint="eastAsia" w:ascii="Times New Roman" w:hAnsi="Times New Roman" w:eastAsia="仿宋GB2312"/>
          <w:b/>
          <w:bCs/>
          <w:sz w:val="28"/>
          <w:szCs w:val="28"/>
        </w:rPr>
        <w:t>.</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3ED54C58">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14:paraId="584BFA03">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7D504F18">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14:paraId="4D251195">
      <w:pPr>
        <w:spacing w:line="600" w:lineRule="exact"/>
        <w:ind w:firstLine="560" w:firstLineChars="200"/>
        <w:rPr>
          <w:rFonts w:ascii="方正仿宋_GBK" w:hAnsi="方正仿宋_GBK" w:eastAsia="方正仿宋_GBK" w:cs="方正仿宋_GBK"/>
          <w:sz w:val="28"/>
          <w:szCs w:val="28"/>
        </w:rPr>
      </w:pPr>
    </w:p>
    <w:p w14:paraId="6B0A291A">
      <w:pPr>
        <w:spacing w:line="540" w:lineRule="exact"/>
        <w:outlineLvl w:val="1"/>
        <w:rPr>
          <w:rFonts w:ascii="Times New Roman" w:hAnsi="Times New Roman" w:eastAsia="黑体"/>
          <w:sz w:val="28"/>
          <w:szCs w:val="28"/>
        </w:rPr>
      </w:pPr>
    </w:p>
    <w:p w14:paraId="7C6D4BA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412B0"/>
    <w:rsid w:val="00075FC4"/>
    <w:rsid w:val="000E3CDF"/>
    <w:rsid w:val="001412B0"/>
    <w:rsid w:val="001973DA"/>
    <w:rsid w:val="001F5855"/>
    <w:rsid w:val="003873EA"/>
    <w:rsid w:val="00810160"/>
    <w:rsid w:val="0084101A"/>
    <w:rsid w:val="00910361"/>
    <w:rsid w:val="00A7167F"/>
    <w:rsid w:val="00AA1411"/>
    <w:rsid w:val="00BA45CB"/>
    <w:rsid w:val="00D31CBB"/>
    <w:rsid w:val="00E11EDF"/>
    <w:rsid w:val="00E339D5"/>
    <w:rsid w:val="00EF4FFB"/>
    <w:rsid w:val="00F4134E"/>
    <w:rsid w:val="289D1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rFonts w:ascii="Calibri" w:hAnsi="Calibri" w:cs="Times New Roman"/>
      <w:sz w:val="18"/>
      <w:szCs w:val="18"/>
    </w:rPr>
  </w:style>
  <w:style w:type="character" w:customStyle="1" w:styleId="7">
    <w:name w:val="页脚 Char"/>
    <w:basedOn w:val="5"/>
    <w:link w:val="2"/>
    <w:semiHidden/>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9</Pages>
  <Words>2914</Words>
  <Characters>3103</Characters>
  <Lines>23</Lines>
  <Paragraphs>6</Paragraphs>
  <TotalTime>2</TotalTime>
  <ScaleCrop>false</ScaleCrop>
  <LinksUpToDate>false</LinksUpToDate>
  <CharactersWithSpaces>3116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2023-12-23T03:19:00Z</dcterms:created>
  <dc:creator>大理市交通运输局</dc:creator>
  <cp:lastModifiedBy>Administrator</cp:lastModifiedBy>
  <dcterms:modified xsi:type="dcterms:W3CDTF">2024-11-26T08:20:34Z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A3C1F8DA25C94C28BA34689D3E87A741_12</vt:lpwstr>
  </property>
</Properties>
</file>