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E0405">
      <w:pPr>
        <w:jc w:val="center"/>
        <w:rPr>
          <w:rFonts w:ascii="方正小标宋_GBK" w:hAnsi="方正小标宋_GBK" w:eastAsia="方正小标宋_GBK" w:cs="方正小标宋_GBK"/>
          <w:sz w:val="40"/>
          <w:szCs w:val="40"/>
        </w:rPr>
      </w:pPr>
      <w:bookmarkStart w:id="0" w:name="_GoBack"/>
      <w:bookmarkEnd w:id="0"/>
      <w:r>
        <w:rPr>
          <w:rFonts w:hint="eastAsia" w:ascii="方正小标宋_GBK" w:hAnsi="方正小标宋_GBK" w:eastAsia="方正小标宋_GBK" w:cs="方正小标宋_GBK"/>
          <w:sz w:val="40"/>
          <w:szCs w:val="40"/>
        </w:rPr>
        <w:t>在公路建筑控制区内埋设管道、电缆等设施许可（县级权限）</w:t>
      </w:r>
    </w:p>
    <w:p w14:paraId="5485DB41">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【00011820702101】</w:t>
      </w:r>
    </w:p>
    <w:p w14:paraId="0F804D76">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14:paraId="7D9678B6">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14:paraId="0F61D709">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涉路施工许可【00011820700Y】</w:t>
      </w:r>
    </w:p>
    <w:p w14:paraId="17428CE1">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14:paraId="5D112B45">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在公路建筑控制区内埋设管道、电缆等设施许可（县级权限）【000118207021】</w:t>
      </w:r>
    </w:p>
    <w:p w14:paraId="434EB55D">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14:paraId="77A1C43B">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在公路建筑控制区内埋设管道、电缆等设施许可（县级权限）(00011820702101)</w:t>
      </w:r>
    </w:p>
    <w:p w14:paraId="58561F07">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14:paraId="5D5C0D0E">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（1）《中华人民共和国公路法》第五十六条</w:t>
      </w:r>
    </w:p>
    <w:p w14:paraId="6A001870">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（2）《公路安全保护条例》第二十七条、第二十八条</w:t>
      </w:r>
    </w:p>
    <w:p w14:paraId="072F962F">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14:paraId="0AFC6688">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（1）《路政管理规定》（交通运输部令2016年第81号）第八条、第十六条、第十八条</w:t>
      </w:r>
    </w:p>
    <w:p w14:paraId="4C46812F">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14:paraId="0B71F365">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（1）《中华人民共和国公路法》第八十一条</w:t>
      </w:r>
    </w:p>
    <w:p w14:paraId="157B2DDD">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（2）《公路安全保护条例》第六十二条</w:t>
      </w:r>
    </w:p>
    <w:p w14:paraId="216D2EA8">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（3）《路政管理规定》（交通运输部令2016年第81号）第二十八条</w:t>
      </w:r>
    </w:p>
    <w:p w14:paraId="118E1477">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洱源县</w:t>
      </w:r>
      <w:r>
        <w:rPr>
          <w:rFonts w:hint="eastAsia" w:ascii="方正仿宋_GBK" w:hAnsi="方正仿宋_GBK" w:eastAsia="方正仿宋_GBK" w:cs="方正仿宋_GBK"/>
          <w:sz w:val="28"/>
          <w:szCs w:val="28"/>
        </w:rPr>
        <w:t>交通运输局</w:t>
      </w:r>
    </w:p>
    <w:p w14:paraId="63A66B7E">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127DF2B9">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6806A39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01160CF7">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2D6BA79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3CB135B9">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2875B31F">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公路建筑控制区内埋设管线、电缆等设施许可</w:t>
      </w:r>
    </w:p>
    <w:p w14:paraId="2BB8A303">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14:paraId="5AFBEC39">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14:paraId="065691D1">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14:paraId="6BEF4980">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14:paraId="6B2320E4">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符合有关技术标准、规范要求的设计和施工方案；</w:t>
      </w:r>
    </w:p>
    <w:p w14:paraId="26016E9D">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保障公路、公路附属设施质量和安全的技术评价报告；</w:t>
      </w:r>
    </w:p>
    <w:p w14:paraId="362E1980">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处置施工险情和意外事故的应急方案；</w:t>
      </w:r>
    </w:p>
    <w:p w14:paraId="4E03D597">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影响交通安全的，应当征得公安机关交通管理部门的同意；涉及经营性公路的，应当征求公路经营企业的意见。</w:t>
      </w:r>
    </w:p>
    <w:p w14:paraId="132A3885">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14:paraId="039FE6FC">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《公路安全保护条例》第二十八条 申请进行涉路施工活动的建设单位应当向公路管理机构提交下列材料：</w:t>
      </w:r>
    </w:p>
    <w:p w14:paraId="644CD2CB">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（一）符合有关技术标准、规范要求的设计和施工方案；</w:t>
      </w:r>
    </w:p>
    <w:p w14:paraId="0812C3DB">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（二）保障公路、公路附属设施质量和安全的技术评价报告；</w:t>
      </w:r>
    </w:p>
    <w:p w14:paraId="53A8B17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（三）处置施工险情和意外事故的应急方案。</w:t>
      </w:r>
    </w:p>
    <w:p w14:paraId="1DD387B5">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管理机构应当自受理申请之日起20日内作出许可或者不予许可的决定；影响交通安全的，应当征得公安机关交通管理部门的同意；涉及经营性公路的，应当征求公路经营企业的意见；不予许可的，公路管理机构应当书面通知申请人并说明理由。</w:t>
      </w:r>
    </w:p>
    <w:p w14:paraId="15CEA365">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14:paraId="6FD67D9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事业单位法人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社会组织法人</w:t>
      </w:r>
    </w:p>
    <w:p w14:paraId="48FE011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14:paraId="1FA899BB">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14:paraId="48899A8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14:paraId="58EA40D4">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14:paraId="7FB5E2DD">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p>
    <w:p w14:paraId="454772C6">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将承诺审批时限由20个工作日压减至8个工作日。</w:t>
      </w:r>
    </w:p>
    <w:p w14:paraId="01AD00C9">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14:paraId="39FB7C64">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建设单位应当按照许可的设计和施工方案进行施工作业，履行安全生产主体责任，落实保障公路、公路附属设施和安全的防护措施。</w:t>
      </w:r>
    </w:p>
    <w:p w14:paraId="0DB9E911">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涉路施工完毕，建设单位应当向作出行政许可决定的许可机关提出验收申请，并明确涉路工程设施的所有人、管理人及其维护和管理责任。许可机关应当组织建设单位，涉路工程设施的所有人，管理人及相关单位依照《公路安全保护条例》等规定进行验收。验收不合格的，责令建设单位限期改正；经改正仍不合格或者在规定期限内不改正的，依照有关规定予以处理。</w:t>
      </w:r>
    </w:p>
    <w:p w14:paraId="3E653753">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许可机关应当建立涉路施工行政许可监督检查工作制度，明确监督检查事项、检查要求、检查频率和相关责任，监督检查应当做好检查记录。</w:t>
      </w:r>
    </w:p>
    <w:p w14:paraId="23CEDB56">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单位未按照许可的设计和施工方案进行施工作业或者未落实保障公路、公路附属设施质量和安全的防护措施的，以及涉路工程设施的所有人、管理人未建立和实施自检制度或者未履行维护和管理责任的，由许可机关限期责令改正；逾期不改正的，依法有关规定予以处理。</w:t>
      </w:r>
    </w:p>
    <w:p w14:paraId="58B4B9CD">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省级交通运输主管部门应当加强信用管理工作，对从事涉路施工活动的建设单位、设计单位、施工单位和技术评价报告编制单位以及相关评审专家违反有关法律、法规、规章和执业要求的，记入信用记录，及时通过“信用交通”网站渠道向社会公开，并依法实施相应的失信惩戒。</w:t>
      </w:r>
    </w:p>
    <w:p w14:paraId="1239275F">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14:paraId="41F7C9E3">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14:paraId="50CF9BD7">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（1）符合有关技术标准、规范要求的设计和施工方案；</w:t>
      </w:r>
    </w:p>
    <w:p w14:paraId="416CACBB">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（2）保障公路、公路附属设施质量和安全的技术评价报告；</w:t>
      </w:r>
    </w:p>
    <w:p w14:paraId="05A19750">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（3）处置施工险情和意外事故的应急方案。</w:t>
      </w:r>
    </w:p>
    <w:p w14:paraId="102CA870">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14:paraId="5B38E812">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《公路安全保护条例》第二十八条  申请进行涉路施工活动的建设单位应当向公路管理机构提交下列材料：（一）符合有关技术标准、规范要求的设计和施工方案；（二）保障公路、公路附属设施质量和安全的技术评价报告；（三）处置施工险情和意外事故的应急方案。</w:t>
      </w:r>
    </w:p>
    <w:p w14:paraId="237D40D9">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14:paraId="0AA616B8">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14:paraId="229B2E79">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0A111173">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14:paraId="727E5B1C">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14:paraId="1623092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601B6793">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2D8DE09E">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14:paraId="04F873BD">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14:paraId="774DEDB8">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（1）受理</w:t>
      </w:r>
    </w:p>
    <w:p w14:paraId="09FE1F51">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（2）审查</w:t>
      </w:r>
    </w:p>
    <w:p w14:paraId="646ED7D8">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（3）现场勘验</w:t>
      </w:r>
    </w:p>
    <w:p w14:paraId="2FB28F76">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（4）作出许可决定</w:t>
      </w:r>
    </w:p>
    <w:p w14:paraId="77E1F78C">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14:paraId="492F8B21">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《交通行政许可实施程序规定》（交通部令2004年第10号）第十三条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实施机关受理交通行政许可申请后，应当对申请人提交的申请材料进行审查。</w:t>
      </w:r>
    </w:p>
    <w:p w14:paraId="510D29B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申请人提交的申请材料齐全、符合法定形式，实施机关能够当场作出决定的，应当当场作出交通行政许可决定，并向申请人出具《交通行政许可（当场）决定书》（见附件5〔略〕）。</w:t>
      </w:r>
    </w:p>
    <w:p w14:paraId="0FEB38B3">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依照法律、法规和规章的规定，需要对申请材料的实质内容进行核实的，应当审查申请材料反映的情况是否与法定的行政许可条件相一致。</w:t>
      </w:r>
    </w:p>
    <w:p w14:paraId="27FF71D6">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实施实质审查，应当指派2名以上工作人员进行。可以采用以下方式：（一）当面询问申请人及申请材料内容有关的相关人员；（二）根据申请人提交的材料之间的内容相互进行印证；（三）根据行政机关掌握的有关信息与申请材料进行印证；（四）请求其他行政机关协助审查申请材料的真实性；（五）调取查阅有关材料，核实申请材料的真实性；（六）对有关设备、设施、工具、场地进行实地核查；（七）依法进行检验、勘验、监测；（八）听取利害关系人意见；（九）举行听证；（十）召开专家评审会议审查申请材料的真实性。</w:t>
      </w:r>
    </w:p>
    <w:p w14:paraId="38BD91B9">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依照法律、行政法规规定，实施交通行政许可应当通过招标、拍卖等公平竞争的方式作出决定的，从其规定。</w:t>
      </w:r>
    </w:p>
    <w:p w14:paraId="5B280BB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实施机关作出准予交通行政许可决定的，应当在作出决定之日起10日内，向申请人颁发加盖实施机关印章的下列行政许可证件：（一）交通行政许可批准文件或者证明文件；（二）许可证、执照或者其他许可证书；（三）资格证、资质证或者其他合格证书；（四）法律、法规、规章规定的其他行政许可证件。</w:t>
      </w:r>
    </w:p>
    <w:p w14:paraId="420DFF3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24C7B3A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29B80D9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342A1908">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19BD96D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31A4A87E">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361A20B7">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542BCB08">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00B321D8">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14:paraId="0AF3D6EF">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14:paraId="4A7FD629">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rPr>
        <w:t>0</w:t>
      </w:r>
      <w:r>
        <w:rPr>
          <w:rFonts w:ascii="方正仿宋_GBK" w:hAnsi="方正仿宋_GBK" w:eastAsia="方正仿宋_GBK" w:cs="方正仿宋_GBK"/>
          <w:sz w:val="28"/>
          <w:szCs w:val="28"/>
        </w:rPr>
        <w:t>个工作日</w:t>
      </w:r>
    </w:p>
    <w:p w14:paraId="0F4C0B83">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14:paraId="2ADE94CE">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14:paraId="1551BB26">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（1）《公路安全保护条例》第二十八条  申请进行涉路施工活动的建设单位应当向公路管理机构提交下列材料：</w:t>
      </w:r>
    </w:p>
    <w:p w14:paraId="6C1FE93B">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（一）符合有关技术标准、规范要求的设计和施工方案；</w:t>
      </w:r>
    </w:p>
    <w:p w14:paraId="1978A99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（二）保障公路、公路附属设施质量和安全的技术评价报告；</w:t>
      </w:r>
    </w:p>
    <w:p w14:paraId="3814021F">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（三）处置施工险情和意外事故的应急方案。</w:t>
      </w:r>
    </w:p>
    <w:p w14:paraId="314A1837">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管理机构应当自受理申请之日起20日内作出许可或者不予许可的决定；影响交通安全的，应当征得公安机关交通管理部门的同意；涉及经营性公路的，应当征求公路经营企业的意见；不予许可的，公路管理机构应当书面通知申请人并说明理由。</w:t>
      </w:r>
    </w:p>
    <w:p w14:paraId="45B77979">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（2）《交通行政许可实施程序规定》（交通部令2004年第10号）第十五条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除当场作出交通行政许可决定外，实施机关应当自受理申请之日起20日内作出交通行政许可决定。20日内不能作出决定的，经实施机关负责人批准，可以延长10日，并应当向申请人送达《延长交通行政许可期限通知书》（见附件7〔略〕），将延长期限的理由告知申请人。但是，法律、法规另有规定的，从其规定。</w:t>
      </w:r>
    </w:p>
    <w:p w14:paraId="20F4B7DF">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实施机关作出行政许可决定，依照法律、法规和规章的规定需要听证、招标、拍卖、检验、检测、检疫、鉴定和专家评审的，所需时间不计算在本条规定的期限内。实施机关应当向申请人送达《交通行政许可期限法定除外时间通知书》（见附件8〔略〕），将所需时间书面告知申请人。</w:t>
      </w:r>
    </w:p>
    <w:p w14:paraId="27506D93">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（3）《路政管理规定》（交通运输部令2016年第81号）第十九条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交通主管部门或者其设置的公路管理机构自接到申请书之日起15日内应当作出决定。作出批准或者同意的决定的，应当签发相应的许可证；作出不批准或者不同意的决定的，应当书面告知，并说明理由。</w:t>
      </w:r>
    </w:p>
    <w:p w14:paraId="75D4EC94">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8</w:t>
      </w:r>
      <w:r>
        <w:rPr>
          <w:rFonts w:ascii="方正仿宋_GBK" w:hAnsi="方正仿宋_GBK" w:eastAsia="方正仿宋_GBK" w:cs="方正仿宋_GBK"/>
          <w:sz w:val="28"/>
          <w:szCs w:val="28"/>
        </w:rPr>
        <w:t>个工作日</w:t>
      </w:r>
    </w:p>
    <w:p w14:paraId="1CFF811F">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14:paraId="4302935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14:paraId="2471065A">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14:paraId="0B88ACA7">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3146852A">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14:paraId="4DEA183D">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14:paraId="289A61D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14:paraId="3184A5D0">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同施工期</w:t>
      </w:r>
    </w:p>
    <w:p w14:paraId="118007C5">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14:paraId="773CB2CF">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《公路安全保护条例》第二十九条  建设单位应当按照许可的设计和施工方案进行施工作业，并落实保障公路、公路附属设施质量和安全的防护措施。</w:t>
      </w:r>
    </w:p>
    <w:p w14:paraId="58FAACC7">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涉路施工完毕，公路管理机构应当对公路、公路附属设施是否达到规定的技术标准以及施工是否符合保障公路、公路附属设施质量和安全的要求进行验收；影响交通安全的，还应当经公安机关交通管理部门验收。</w:t>
      </w:r>
    </w:p>
    <w:p w14:paraId="62A8397B">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涉路工程设施的所有人、管理人应当加强维护和管理，确保工程设施不影响公路的完好、安全和畅通。</w:t>
      </w:r>
    </w:p>
    <w:p w14:paraId="312510AB">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14:paraId="3B7375DD">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14:paraId="6036B411">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5BC6FEE7">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14:paraId="196F2188">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14:paraId="7239A460">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42538F98">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14:paraId="0AFCD7D8">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涉路施工活动所处地域范围</w:t>
      </w:r>
    </w:p>
    <w:p w14:paraId="66012AB2">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14:paraId="37167BEF">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《公路安全保护条例》第二十九条  建设单位应当按照许可的设计和施工方案进行施工作业，并落实保障公路、公路附属设施质量和安全的防护措施。</w:t>
      </w:r>
    </w:p>
    <w:p w14:paraId="6AED0E47">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涉路施工完毕，公路管理机构应当对公路、公路附属设施是否达到规定的技术标准以及施工是否符合保障公路、公路附属设施质量和安全的要求进行验收；影响交通安全的，还应当经公安机关交通管理部门验收。</w:t>
      </w:r>
    </w:p>
    <w:p w14:paraId="5F292B36">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涉路工程设施的所有人、管理人应当加强维护和管理，确保工程设施不影响公路的完好、安全和畅通。</w:t>
      </w:r>
    </w:p>
    <w:p w14:paraId="4562811F">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14:paraId="7EFB2600">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14:paraId="050F6B9F">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14:paraId="534D501C">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14:paraId="301C9FB9">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14:paraId="3B131B44">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14:paraId="703C7144">
      <w:pPr>
        <w:spacing w:line="600" w:lineRule="exact"/>
        <w:ind w:firstLine="560" w:firstLineChars="200"/>
        <w:jc w:val="left"/>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6C19DC17">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14:paraId="69D18F2E">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14:paraId="3CAA11FB">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14:paraId="0C8BAAC4">
      <w:pPr>
        <w:spacing w:line="540" w:lineRule="exact"/>
        <w:ind w:firstLine="560" w:firstLineChars="200"/>
        <w:outlineLvl w:val="2"/>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694B9415">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14:paraId="23135ED5">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14:paraId="31DED792">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14:paraId="0011A0F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14:paraId="397A6AC5">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14:paraId="18A349E9">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0998796D">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14:paraId="7F1FE98A">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14:paraId="713CEF7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4AD413B2">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3BB11CC9">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14:paraId="496B8CE4">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6FE8CFD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22D2E726">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14:paraId="1AD70F92">
      <w:pPr>
        <w:spacing w:line="600" w:lineRule="exact"/>
        <w:rPr>
          <w:rFonts w:ascii="Times New Roman" w:hAnsi="Times New Roman" w:eastAsia="仿宋GB2312"/>
          <w:sz w:val="28"/>
          <w:szCs w:val="28"/>
        </w:rPr>
      </w:pPr>
      <w:r>
        <w:rPr>
          <w:rFonts w:hint="eastAsia" w:ascii="方正仿宋_GBK" w:hAnsi="方正仿宋_GBK" w:eastAsia="方正仿宋_GBK" w:cs="方正仿宋_GBK"/>
          <w:sz w:val="28"/>
          <w:szCs w:val="28"/>
          <w:lang w:eastAsia="zh-CN"/>
        </w:rPr>
        <w:t>洱源县</w:t>
      </w:r>
      <w:r>
        <w:rPr>
          <w:rFonts w:hint="eastAsia" w:ascii="方正仿宋_GBK" w:hAnsi="方正仿宋_GBK" w:eastAsia="方正仿宋_GBK" w:cs="方正仿宋_GBK"/>
          <w:sz w:val="28"/>
          <w:szCs w:val="28"/>
        </w:rPr>
        <w:t>交通运输局</w:t>
      </w:r>
    </w:p>
    <w:p w14:paraId="6A7E0729">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14:paraId="3FA01CE0">
      <w:pPr>
        <w:spacing w:line="600" w:lineRule="exact"/>
        <w:ind w:firstLine="560" w:firstLineChars="200"/>
        <w:rPr>
          <w:rFonts w:ascii="方正仿宋_GBK" w:hAnsi="方正仿宋_GBK" w:eastAsia="方正仿宋_GBK" w:cs="方正仿宋_GBK"/>
          <w:sz w:val="28"/>
          <w:szCs w:val="28"/>
        </w:rPr>
      </w:pPr>
    </w:p>
    <w:p w14:paraId="1A3D248B">
      <w:pPr>
        <w:spacing w:line="540" w:lineRule="exact"/>
        <w:outlineLvl w:val="1"/>
        <w:rPr>
          <w:rFonts w:ascii="Times New Roman" w:hAnsi="Times New Roman" w:eastAsia="黑体"/>
          <w:sz w:val="28"/>
          <w:szCs w:val="28"/>
        </w:rPr>
      </w:pPr>
    </w:p>
    <w:p w14:paraId="45CCFB7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81CC5"/>
    <w:rsid w:val="00075FC4"/>
    <w:rsid w:val="000E3FCE"/>
    <w:rsid w:val="00181CC5"/>
    <w:rsid w:val="001973DA"/>
    <w:rsid w:val="003873EA"/>
    <w:rsid w:val="00762B09"/>
    <w:rsid w:val="007B2E34"/>
    <w:rsid w:val="00803837"/>
    <w:rsid w:val="00810160"/>
    <w:rsid w:val="0084101A"/>
    <w:rsid w:val="00910361"/>
    <w:rsid w:val="00AA1411"/>
    <w:rsid w:val="00BA45CB"/>
    <w:rsid w:val="00E11EDF"/>
    <w:rsid w:val="00E339D5"/>
    <w:rsid w:val="00EF4FFB"/>
    <w:rsid w:val="00F4134E"/>
    <w:rsid w:val="00F4437F"/>
    <w:rsid w:val="2B425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semiHidden/>
    <w:uiPriority w:val="99"/>
    <w:rPr>
      <w:rFonts w:ascii="Calibri" w:hAnsi="Calibri" w:cs="Times New Roman"/>
      <w:sz w:val="18"/>
      <w:szCs w:val="18"/>
    </w:rPr>
  </w:style>
  <w:style w:type="character" w:customStyle="1" w:styleId="8">
    <w:name w:val="页脚 Char"/>
    <w:basedOn w:val="5"/>
    <w:link w:val="2"/>
    <w:semiHidden/>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11</Pages>
  <Words>4148</Words>
  <Characters>4309</Characters>
  <Lines>31</Lines>
  <Paragraphs>8</Paragraphs>
  <TotalTime>3</TotalTime>
  <ScaleCrop>false</ScaleCrop>
  <LinksUpToDate>false</LinksUpToDate>
  <CharactersWithSpaces>4322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2023-12-21T07:33:00Z</dcterms:created>
  <dc:creator>大理市交通运输局</dc:creator>
  <cp:lastModifiedBy>Administrator</cp:lastModifiedBy>
  <dcterms:modified xsi:type="dcterms:W3CDTF">2024-11-26T08:07:37Z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3C866C007E4444CE97F3A89FA2D4C208_12</vt:lpwstr>
  </property>
</Properties>
</file>