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E9B32">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跨越、穿越公路修建桥梁、渡槽或者架设、埋设管道、电缆等设施许可（县级权限）</w:t>
      </w:r>
    </w:p>
    <w:p w14:paraId="359723D9">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【00011820701601】</w:t>
      </w:r>
    </w:p>
    <w:p w14:paraId="5069CF00">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基本要素</w:t>
      </w:r>
    </w:p>
    <w:p w14:paraId="196F618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14:paraId="23B60F7D">
      <w:pPr>
        <w:spacing w:line="360" w:lineRule="auto"/>
        <w:ind w:firstLine="560" w:firstLineChars="200"/>
        <w:rPr>
          <w:rFonts w:ascii="仿宋" w:hAnsi="仿宋" w:eastAsia="仿宋" w:cs="仿宋"/>
          <w:sz w:val="28"/>
          <w:szCs w:val="28"/>
        </w:rPr>
      </w:pPr>
      <w:r>
        <w:rPr>
          <w:rFonts w:hint="eastAsia" w:ascii="方正仿宋_GBK" w:hAnsi="方正仿宋_GBK" w:eastAsia="方正仿宋_GBK" w:cs="方正仿宋_GBK"/>
          <w:sz w:val="28"/>
          <w:szCs w:val="28"/>
        </w:rPr>
        <w:t>涉路施工许可【00011820700Y】</w:t>
      </w:r>
    </w:p>
    <w:p w14:paraId="2E0282D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14:paraId="2A5D5DC7">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跨越、穿越公路修建桥梁、渡槽或者架设、埋设管道、电缆等设施许可（县级权限）【000118207016】</w:t>
      </w:r>
    </w:p>
    <w:p w14:paraId="52645BF1">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14:paraId="7F6627DE">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跨越、穿越公路修建桥梁、渡槽或者架设、埋设管道、电缆等设施许可（县级权限）(00011820701601)</w:t>
      </w:r>
    </w:p>
    <w:p w14:paraId="4156C205">
      <w:pPr>
        <w:spacing w:line="360" w:lineRule="auto"/>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14:paraId="6A0AC03D">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（1）《中华人民共和国公路法》第四十五条</w:t>
      </w:r>
    </w:p>
    <w:p w14:paraId="2B1D9966">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（2）《公路安全保护条例》第二十七条、第二十八条</w:t>
      </w:r>
    </w:p>
    <w:p w14:paraId="6B8C284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14:paraId="129A45CE">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（1）《路政管理规定》（交通运输部令2016年第81号）第八条、第十条、第十八条</w:t>
      </w:r>
    </w:p>
    <w:p w14:paraId="1F6836B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14:paraId="7F343728">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（1）《中华人民共和国公路法》第七十六条</w:t>
      </w:r>
    </w:p>
    <w:p w14:paraId="599381BC">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（2）《公路安全保护条例》第六十二条</w:t>
      </w:r>
    </w:p>
    <w:p w14:paraId="3D405803">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（3）《路政管理规定》（交通运输部令2016年第81号）第二十三条</w:t>
      </w:r>
    </w:p>
    <w:p w14:paraId="7B3D04E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bookmarkStart w:id="0" w:name="_GoBack"/>
      <w:bookmarkEnd w:id="0"/>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45C3A25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3C21029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208BC2D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50669A9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14:paraId="2A29A29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37FCC642">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37141841">
      <w:pPr>
        <w:spacing w:line="600" w:lineRule="exact"/>
        <w:ind w:firstLine="562" w:firstLineChars="200"/>
        <w:jc w:val="left"/>
        <w:rPr>
          <w:rFonts w:ascii="Times New Roman" w:hAnsi="Times New Roman" w:eastAsia="仿宋GB2312"/>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跨越、穿越公路修建桥梁、渡槽或者架设、埋设管道、电缆等设施，及在公路用地范围内架设、埋设管线、电缆等设施，或者利用公路桥梁、公路隧道、涵洞铺设电缆等设施许可</w:t>
      </w:r>
    </w:p>
    <w:p w14:paraId="32437938">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行政许可事项类型</w:t>
      </w:r>
    </w:p>
    <w:p w14:paraId="281DB12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14:paraId="6971733C">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行政许可条件</w:t>
      </w:r>
    </w:p>
    <w:p w14:paraId="4873F64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14:paraId="494F710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1.符合有关技术标准、规范要求的设计和施工方案；</w:t>
      </w:r>
    </w:p>
    <w:p w14:paraId="627C6AD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2.保障公路、公路附属设施质量和安全的技术评价报告；</w:t>
      </w:r>
    </w:p>
    <w:p w14:paraId="53D7840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3.处置施工险情和意外事故的应急方案；</w:t>
      </w:r>
    </w:p>
    <w:p w14:paraId="733799D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4.影响交通安全的，应当征得公安机关交通管理部门的同意；涉及经营性公路的，应当征求公路经营企业的意见。</w:t>
      </w:r>
    </w:p>
    <w:p w14:paraId="6AB2128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14:paraId="3FE45A2A">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44BD974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595BFFE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75250437">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79706B08">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5FEAA8EF">
      <w:pPr>
        <w:numPr>
          <w:ilvl w:val="0"/>
          <w:numId w:val="1"/>
        </w:numPr>
        <w:spacing w:line="540" w:lineRule="exact"/>
        <w:outlineLvl w:val="1"/>
        <w:rPr>
          <w:rFonts w:ascii="Times New Roman" w:hAnsi="Times New Roman" w:eastAsia="黑体"/>
          <w:sz w:val="28"/>
          <w:szCs w:val="28"/>
        </w:rPr>
      </w:pP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14:paraId="67B5D87B">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事业单位法人</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社会组织法人</w:t>
      </w:r>
    </w:p>
    <w:p w14:paraId="2AC4AA4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14:paraId="53FA8B1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14:paraId="1B9A406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14:paraId="6F6141B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14:paraId="62E25248">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6.具体改革举措</w:t>
      </w:r>
    </w:p>
    <w:p w14:paraId="6A8503B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将承诺审批时限由20个工作日压减至8个工作日。</w:t>
      </w:r>
    </w:p>
    <w:p w14:paraId="2FB9D719">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14:paraId="6A8EDAD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建设单位应当按照许可的设计和施工方案进行施工作业，履行安全生产主体责任，落实保障公路、公路附属设施和安全的防护措施。</w:t>
      </w:r>
    </w:p>
    <w:p w14:paraId="28E701FD">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2</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涉路施工完毕，建设单位应当向作出行政许可决定的许可机关提出验收申请，并明确涉路工程设施的所有人、管理人及其维护和管理责任。许可机关应当组织建设单位，涉路工程设施的所有人，管理人及相关单位依照《公路安全保护条例》等规定进行验收。验收不合格的，责令建设单位限期改正；经改正仍不合格或者在规定期限内不改正的，依照有关规定予以处理。</w:t>
      </w:r>
    </w:p>
    <w:p w14:paraId="16DB0F59">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许可机关应当建立涉路施工行政许可监督检查工作制度，明确监督检查事项、检查要求、检查频率和相关责任，监督检查应当做好检查记录。</w:t>
      </w:r>
    </w:p>
    <w:p w14:paraId="3FD6B7A5">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建设单位未按照许可的设计和施工方案进行施工作业或者未落实保障公路、公路附属设施质量和安全的防护措施的，以及涉路工程设施的所有人、管理人未建立和实施自检制度或者未履行维护和管理责任的，由许可机关限期责令改正；逾期不改正的，依法有关规定予以处理。</w:t>
      </w:r>
    </w:p>
    <w:p w14:paraId="6D41E1AB">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省级交通运输主管部门应当加强信用管理工作，对从事涉路施工活动的建设单位、设计单位、施工单位和技术评价报告编制单位以及相关评审专家违反有关法律、法规、规章和执业要求的，记入信用记录，及时通过“信用交通”网站渠道向社会公开，并依法实施相应的失信惩戒。</w:t>
      </w:r>
    </w:p>
    <w:p w14:paraId="42267E87">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申请材料</w:t>
      </w:r>
    </w:p>
    <w:p w14:paraId="665E071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14:paraId="1FEE4FE4">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（1）符合有关技术标准、规范要求的设计和施工方案；</w:t>
      </w:r>
    </w:p>
    <w:p w14:paraId="0E9A74D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（2）保障公路、公路附属设施质量和安全的技术评价报告；</w:t>
      </w:r>
    </w:p>
    <w:p w14:paraId="2357BE0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（3）处置施工险情和意外事故的应急方案。</w:t>
      </w:r>
    </w:p>
    <w:p w14:paraId="18E0CC6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14:paraId="711B4087">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（1）《公路安全保护条例》第二十八条  申请进行涉路施工活动的建设单位应当向公路管理机构提交下列材料：（一）符合有关技术标准、规范要求的设计和施工方案；（二）保障公路、公路附属设施质量和安全的技术评价报告；（三）处置施工险情和意外事故的应急方案。</w:t>
      </w:r>
    </w:p>
    <w:p w14:paraId="74EFF436">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中介服务</w:t>
      </w:r>
    </w:p>
    <w:p w14:paraId="1AF2F90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14:paraId="37AB96DB">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03771463">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14:paraId="0A497767">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14:paraId="35074B3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2143B15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14:paraId="48BE0A9A">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审批程序</w:t>
      </w:r>
    </w:p>
    <w:p w14:paraId="3B34624E">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14:paraId="7523417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（1）受理</w:t>
      </w:r>
    </w:p>
    <w:p w14:paraId="08FC1F16">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（2）审查</w:t>
      </w:r>
    </w:p>
    <w:p w14:paraId="0133681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（3）现场勘验</w:t>
      </w:r>
    </w:p>
    <w:p w14:paraId="626037E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（4）作出许可决定</w:t>
      </w:r>
    </w:p>
    <w:p w14:paraId="25AD30F4">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14:paraId="5B1F7C5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《交通行政许可实施程序规定》（交通部令2004年第10号）第十三条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实施机关受理交通行政许可申请后，应当对申请人提交的申请材料进行审查。</w:t>
      </w:r>
    </w:p>
    <w:p w14:paraId="42DDC799">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申请人提交的申请材料齐全、符合法定形式，实施机关能够当场作出决定的，应当当场作出交通行政许可决定，并向申请人出具《交通行政许可（当场）决定书》（见附件5〔略〕）。</w:t>
      </w:r>
    </w:p>
    <w:p w14:paraId="737F128C">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依照法律、法规和规章的规定，需要对申请材料的实质内容进行核实的，应当审查申请材料反映的情况是否与法定的行政许可条件相一致。</w:t>
      </w:r>
    </w:p>
    <w:p w14:paraId="7154876E">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实质审查，应当指派2名以上工作人员进行。可以采用以下方式：（一）当面询问申请人及申请材料内容有关的相关人员；（二）根据申请人提交的材料之间的内容相互进行印证；（三）根据行政机关掌握的有关信息与申请材料进行印证；（四）请求其他行政机关协助审查申请材料的真实性；（五）调取查阅有关材料，核实申请材料的真实性；（六）对有关设备、设施、工具、场地进行实地核查；（七）依法进行检验、勘验、监测；（八）听取利害关系人意见；（九）举行听证；（十）召开专家评审会议审查申请材料的真实性。</w:t>
      </w:r>
    </w:p>
    <w:p w14:paraId="42EBE9DD">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依照法律、行政法规规定，实施交通行政许可应当通过招标、拍卖等公平竞争的方式作出决定的，从其规定。</w:t>
      </w:r>
    </w:p>
    <w:p w14:paraId="037A2ADB">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实施机关作出准予交通行政许可决定的，应当在作出决定之日起10日内，向申请人颁发加盖实施机关印章的下列行政许可证件：（一）交通行政许可批准文件或者证明文件；（二）许可证、执照或者其他许可证书；（三）资格证、资质证或者其他合格证书；（四）法律、法规、规章规定的其他行政许可证件。</w:t>
      </w:r>
    </w:p>
    <w:p w14:paraId="2A419114">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6BD8BAB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08E1B6A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5AAE85B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6572351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2A5FB8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EFBA05A">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14:paraId="2C185A8D">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14:paraId="44757716">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14:paraId="6A81A31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受理和审批时限</w:t>
      </w:r>
    </w:p>
    <w:p w14:paraId="01A55DE8">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hint="eastAsia" w:ascii="方正仿宋_GBK" w:hAnsi="方正仿宋_GBK" w:eastAsia="方正仿宋_GBK" w:cs="方正仿宋_GBK"/>
          <w:sz w:val="28"/>
          <w:szCs w:val="28"/>
        </w:rPr>
        <w:t>0</w:t>
      </w:r>
      <w:r>
        <w:rPr>
          <w:rFonts w:ascii="方正仿宋_GBK" w:hAnsi="方正仿宋_GBK" w:eastAsia="方正仿宋_GBK" w:cs="方正仿宋_GBK"/>
          <w:sz w:val="28"/>
          <w:szCs w:val="28"/>
        </w:rPr>
        <w:t>个工作日</w:t>
      </w:r>
    </w:p>
    <w:p w14:paraId="58C7EB67">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14:paraId="36488E5D">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14:paraId="6EC0FAD6">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《公路安全保护条例》第二十八条  申请进行涉路施工活动的建设单位应当向公路管理机构提交下列材料：</w:t>
      </w:r>
    </w:p>
    <w:p w14:paraId="36FE95EF">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（一）符合有关技术标准、规范要求的设计和施工方案；</w:t>
      </w:r>
    </w:p>
    <w:p w14:paraId="34F4954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（二）保障公路、公路附属设施质量和安全的技术评价报告；</w:t>
      </w:r>
    </w:p>
    <w:p w14:paraId="712B663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（三）处置施工险情和意外事故的应急方案。</w:t>
      </w:r>
    </w:p>
    <w:p w14:paraId="48B4CD82">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公路管理机构应当自受理申请之日起20日内作出许可或者不予许可的决定；影响交通安全的，应当征得公安机关交通管理部门的同意；涉及经营性公路的，应当征求公路经营企业的意见；不予许可的，公路管理机构应当书面通知申请人并说明理由。</w:t>
      </w:r>
    </w:p>
    <w:p w14:paraId="711CD05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（2）《交通行政许可实施程序规定》（交通部令2004年第10号）第十五条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除当场作出交通行政许可决定外，实施机关应当自受理申请之日起20日内作出交通行政许可决定。20日内不能作出决定的，经实施机关负责人批准，可以延长10日，并应当向申请人送达《延长交通行政许可期限通知书》（见附件7〔略〕），将延长期限的理由告知申请人。但是，法律、法规另有规定的，从其规定。</w:t>
      </w:r>
    </w:p>
    <w:p w14:paraId="18ED8181">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实施机关作出行政许可决定，依照法律、法规和规章的规定需要听证、招标、拍卖、检验、检测、检疫、鉴定和专家评审的，所需时间不计算在本条规定的期限内。实施机关应当向申请人送达《交通行政许可期限法定除外时间通知书》（见附件8〔略〕），将所需时间书面告知申请人。</w:t>
      </w:r>
    </w:p>
    <w:p w14:paraId="39D3613B">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（3）《路政管理规定》（交通运输部令2016年第81号）第十九条</w:t>
      </w:r>
      <w:r>
        <w:rPr>
          <w:rFonts w:hint="eastAsia" w:ascii="方正仿宋_GBK" w:hAnsi="方正仿宋_GBK" w:eastAsia="方正仿宋_GBK" w:cs="方正仿宋_GBK"/>
          <w:sz w:val="28"/>
          <w:szCs w:val="28"/>
        </w:rPr>
        <w:t xml:space="preserve"> </w:t>
      </w:r>
      <w:r>
        <w:rPr>
          <w:rFonts w:ascii="方正仿宋_GBK" w:hAnsi="方正仿宋_GBK" w:eastAsia="方正仿宋_GBK" w:cs="方正仿宋_GBK"/>
          <w:sz w:val="28"/>
          <w:szCs w:val="28"/>
        </w:rPr>
        <w:t>交通主管部门或者其设置的公路管理机构自接到申请书之日起15日内应当作出决定。作出批准或者同意的决定的，应当签发相应的许可证；作出不批准或者不同意的决定的，应当书面告知，并说明理由。</w:t>
      </w:r>
    </w:p>
    <w:p w14:paraId="3EE90110">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8</w:t>
      </w:r>
      <w:r>
        <w:rPr>
          <w:rFonts w:ascii="方正仿宋_GBK" w:hAnsi="方正仿宋_GBK" w:eastAsia="方正仿宋_GBK" w:cs="方正仿宋_GBK"/>
          <w:sz w:val="28"/>
          <w:szCs w:val="28"/>
        </w:rPr>
        <w:t>个工作日</w:t>
      </w:r>
    </w:p>
    <w:p w14:paraId="60B4E52E">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收费</w:t>
      </w:r>
    </w:p>
    <w:p w14:paraId="7F114885">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14:paraId="69D54415">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14:paraId="2A0F9D8A">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4B8E06B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行政许可证件</w:t>
      </w:r>
    </w:p>
    <w:p w14:paraId="2BE63E37">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14:paraId="5EB6F8D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行政许可决定书</w:t>
      </w:r>
    </w:p>
    <w:p w14:paraId="59DC695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同施工期</w:t>
      </w:r>
    </w:p>
    <w:p w14:paraId="3D486FF7">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14:paraId="339A0DA3">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1E5443F1">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1EF0CCEF">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701077F7">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14:paraId="7DE5E598">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14:paraId="47059EAF">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2074F5FF">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14:paraId="4DF051D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14:paraId="757F8A9E">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无</w:t>
      </w:r>
    </w:p>
    <w:p w14:paraId="460A876C">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14:paraId="43082F9D">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涉路施工活动所处地域范围</w:t>
      </w:r>
    </w:p>
    <w:p w14:paraId="03221B82">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14:paraId="4C79D9F9">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《公路安全保护条例》第二十九条  建设单位应当按照许可的设计和施工方案进行施工作业，并落实保障公路、公路附属设施质量和安全的防护措施。</w:t>
      </w:r>
    </w:p>
    <w:p w14:paraId="481CB2A0">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涉路施工完毕，公路管理机构应当对公路、公路附属设施是否达到规定的技术标准以及施工是否符合保障公路、公路附属设施质量和安全的要求进行验收；影响交通安全的，还应当经公安机关交通管理部门验收。</w:t>
      </w:r>
    </w:p>
    <w:p w14:paraId="654AA4AB">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涉路工程设施的所有人、管理人应当加强维护和管理，确保工程设施不影响公路的完好、安全和畅通。</w:t>
      </w:r>
    </w:p>
    <w:p w14:paraId="019193CB">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行政许可数量限制</w:t>
      </w:r>
    </w:p>
    <w:p w14:paraId="1F31ECCC">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14:paraId="342D98A4">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14:paraId="26309064">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14:paraId="28BAEDD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14:paraId="7EC82B8D">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14:paraId="10F2545C">
      <w:pPr>
        <w:spacing w:line="600" w:lineRule="exact"/>
        <w:ind w:firstLine="560" w:firstLineChars="200"/>
        <w:jc w:val="left"/>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5B338BC2">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行政许可后年检</w:t>
      </w:r>
    </w:p>
    <w:p w14:paraId="1E303B2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14:paraId="4B9A7110">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14:paraId="6ABF4663">
      <w:pPr>
        <w:spacing w:line="540" w:lineRule="exact"/>
        <w:ind w:firstLine="560" w:firstLineChars="200"/>
        <w:outlineLvl w:val="2"/>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16C858AD">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14:paraId="505186D1">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14:paraId="7A30D562">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14:paraId="5F711FA3">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14:paraId="057B9188">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14:paraId="54F8A9D0">
      <w:pPr>
        <w:spacing w:line="600" w:lineRule="exact"/>
        <w:ind w:firstLine="560" w:firstLineChars="200"/>
        <w:rPr>
          <w:rFonts w:ascii="Times New Roman" w:hAnsi="Times New Roman" w:eastAsia="仿宋GB2312"/>
          <w:sz w:val="28"/>
          <w:szCs w:val="28"/>
        </w:rPr>
      </w:pPr>
      <w:r>
        <w:rPr>
          <w:rFonts w:hint="eastAsia" w:ascii="方正仿宋_GBK" w:hAnsi="方正仿宋_GBK" w:eastAsia="方正仿宋_GBK" w:cs="方正仿宋_GBK"/>
          <w:sz w:val="28"/>
          <w:szCs w:val="28"/>
        </w:rPr>
        <w:t>无</w:t>
      </w:r>
    </w:p>
    <w:p w14:paraId="55352E03">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14:paraId="71EE1008">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行政许可后年报</w:t>
      </w:r>
    </w:p>
    <w:p w14:paraId="4952D97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734ACE06">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464197EF">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14:paraId="0B4664AB">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14:paraId="150B973E">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14:paraId="741378B5">
      <w:pPr>
        <w:numPr>
          <w:ilvl w:val="0"/>
          <w:numId w:val="1"/>
        </w:num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监管主体</w:t>
      </w:r>
    </w:p>
    <w:p w14:paraId="4AAF478F">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洱源县</w:t>
      </w:r>
      <w:r>
        <w:rPr>
          <w:rFonts w:hint="eastAsia" w:ascii="方正仿宋_GBK" w:hAnsi="方正仿宋_GBK" w:eastAsia="方正仿宋_GBK" w:cs="方正仿宋_GBK"/>
          <w:sz w:val="28"/>
          <w:szCs w:val="28"/>
        </w:rPr>
        <w:t>交通运输局</w:t>
      </w:r>
    </w:p>
    <w:p w14:paraId="57EEDC21">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十五、备注</w:t>
      </w:r>
    </w:p>
    <w:p w14:paraId="1579766B">
      <w:pPr>
        <w:spacing w:line="600" w:lineRule="exact"/>
        <w:ind w:firstLine="560" w:firstLineChars="200"/>
        <w:rPr>
          <w:rFonts w:ascii="方正仿宋_GBK" w:hAnsi="方正仿宋_GBK" w:eastAsia="方正仿宋_GBK" w:cs="方正仿宋_GBK"/>
          <w:sz w:val="28"/>
          <w:szCs w:val="28"/>
        </w:rPr>
      </w:pPr>
    </w:p>
    <w:p w14:paraId="48DD7C9C">
      <w:pPr>
        <w:spacing w:line="540" w:lineRule="exact"/>
        <w:outlineLvl w:val="1"/>
        <w:rPr>
          <w:rFonts w:ascii="Times New Roman" w:hAnsi="Times New Roman" w:eastAsia="黑体"/>
          <w:sz w:val="28"/>
          <w:szCs w:val="28"/>
        </w:rPr>
      </w:pPr>
    </w:p>
    <w:p w14:paraId="1519632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F30B91"/>
    <w:multiLevelType w:val="singleLevel"/>
    <w:tmpl w:val="EFF30B9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248FD"/>
    <w:rsid w:val="00075FC4"/>
    <w:rsid w:val="001973DA"/>
    <w:rsid w:val="001C0150"/>
    <w:rsid w:val="00233850"/>
    <w:rsid w:val="00305338"/>
    <w:rsid w:val="003873EA"/>
    <w:rsid w:val="00445B1A"/>
    <w:rsid w:val="004C070D"/>
    <w:rsid w:val="00810160"/>
    <w:rsid w:val="0084101A"/>
    <w:rsid w:val="008F26A4"/>
    <w:rsid w:val="00910361"/>
    <w:rsid w:val="00AA1411"/>
    <w:rsid w:val="00B248FD"/>
    <w:rsid w:val="00B4298D"/>
    <w:rsid w:val="00BA45CB"/>
    <w:rsid w:val="00E11EDF"/>
    <w:rsid w:val="00E339D5"/>
    <w:rsid w:val="00EF4FFB"/>
    <w:rsid w:val="00F4134E"/>
    <w:rsid w:val="00F6664D"/>
    <w:rsid w:val="70A03A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cs="Times New Roman" w:eastAsiaTheme="minorEastAsia"/>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Calibri" w:hAnsi="Calibri" w:cs="Times New Roman"/>
      <w:sz w:val="18"/>
      <w:szCs w:val="18"/>
    </w:rPr>
  </w:style>
  <w:style w:type="character" w:customStyle="1" w:styleId="7">
    <w:name w:val="页脚 Char"/>
    <w:basedOn w:val="5"/>
    <w:link w:val="2"/>
    <w:semiHidden/>
    <w:uiPriority w:val="99"/>
    <w:rPr>
      <w:rFonts w:ascii="Calibri" w:hAnsi="Calibri"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dlzb</Company>
  <Pages>11</Pages>
  <Words>4227</Words>
  <Characters>4392</Characters>
  <Lines>32</Lines>
  <Paragraphs>9</Paragraphs>
  <TotalTime>3</TotalTime>
  <ScaleCrop>false</ScaleCrop>
  <LinksUpToDate>false</LinksUpToDate>
  <CharactersWithSpaces>4405</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2023-12-21T07:25:00Z</dcterms:created>
  <dc:creator>大理市交通运输局</dc:creator>
  <cp:lastModifiedBy>Administrator</cp:lastModifiedBy>
  <dcterms:modified xsi:type="dcterms:W3CDTF">2024-11-26T08:07:33Z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8E59E420303F4167BACEBBB4F30509A7_12</vt:lpwstr>
  </property>
</Properties>
</file>