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51" w:rsidRDefault="00A76D51" w:rsidP="00865E58">
      <w:pPr>
        <w:widowControl/>
        <w:jc w:val="center"/>
        <w:rPr>
          <w:rFonts w:ascii="方正小标宋简体" w:eastAsia="方正小标宋简体" w:hAnsi="方正小标宋简体" w:cs="方正小标宋简体"/>
          <w:color w:val="000000"/>
          <w:kern w:val="0"/>
          <w:sz w:val="43"/>
          <w:szCs w:val="43"/>
        </w:rPr>
      </w:pPr>
      <w:r>
        <w:rPr>
          <w:rFonts w:ascii="方正小标宋简体" w:eastAsia="方正小标宋简体" w:hAnsi="方正小标宋简体" w:cs="方正小标宋简体" w:hint="eastAsia"/>
          <w:color w:val="000000"/>
          <w:kern w:val="0"/>
          <w:sz w:val="43"/>
          <w:szCs w:val="43"/>
        </w:rPr>
        <w:t>洱源</w:t>
      </w:r>
      <w:proofErr w:type="gramStart"/>
      <w:r>
        <w:rPr>
          <w:rFonts w:ascii="方正小标宋简体" w:eastAsia="方正小标宋简体" w:hAnsi="方正小标宋简体" w:cs="方正小标宋简体" w:hint="eastAsia"/>
          <w:color w:val="000000"/>
          <w:kern w:val="0"/>
          <w:sz w:val="43"/>
          <w:szCs w:val="43"/>
        </w:rPr>
        <w:t>县卫健局</w:t>
      </w:r>
      <w:proofErr w:type="gramEnd"/>
      <w:r>
        <w:rPr>
          <w:rFonts w:ascii="方正小标宋简体" w:eastAsia="方正小标宋简体" w:hAnsi="方正小标宋简体" w:cs="方正小标宋简体" w:hint="eastAsia"/>
          <w:color w:val="000000"/>
          <w:kern w:val="0"/>
          <w:sz w:val="43"/>
          <w:szCs w:val="43"/>
        </w:rPr>
        <w:t>关于</w:t>
      </w:r>
      <w:r>
        <w:rPr>
          <w:rFonts w:ascii="方正小标宋简体" w:eastAsia="方正小标宋简体" w:hAnsi="方正小标宋简体" w:cs="方正小标宋简体"/>
          <w:color w:val="000000"/>
          <w:kern w:val="0"/>
          <w:sz w:val="43"/>
          <w:szCs w:val="43"/>
        </w:rPr>
        <w:t>开展告知承诺</w:t>
      </w:r>
      <w:proofErr w:type="gramStart"/>
      <w:r>
        <w:rPr>
          <w:rFonts w:ascii="方正小标宋简体" w:eastAsia="方正小标宋简体" w:hAnsi="方正小标宋简体" w:cs="方正小标宋简体"/>
          <w:color w:val="000000"/>
          <w:kern w:val="0"/>
          <w:sz w:val="43"/>
          <w:szCs w:val="43"/>
        </w:rPr>
        <w:t>制证明</w:t>
      </w:r>
      <w:proofErr w:type="gramEnd"/>
      <w:r>
        <w:rPr>
          <w:rFonts w:ascii="方正小标宋简体" w:eastAsia="方正小标宋简体" w:hAnsi="方正小标宋简体" w:cs="方正小标宋简体"/>
          <w:color w:val="000000"/>
          <w:kern w:val="0"/>
          <w:sz w:val="43"/>
          <w:szCs w:val="43"/>
        </w:rPr>
        <w:t>事项清单</w:t>
      </w:r>
      <w:r>
        <w:rPr>
          <w:rFonts w:ascii="方正小标宋简体" w:eastAsia="方正小标宋简体" w:hAnsi="方正小标宋简体" w:cs="方正小标宋简体" w:hint="eastAsia"/>
          <w:color w:val="000000"/>
          <w:kern w:val="0"/>
          <w:sz w:val="43"/>
          <w:szCs w:val="43"/>
        </w:rPr>
        <w:t>（第一批）</w:t>
      </w:r>
      <w:bookmarkStart w:id="0" w:name="_GoBack"/>
      <w:bookmarkEnd w:id="0"/>
    </w:p>
    <w:tbl>
      <w:tblPr>
        <w:tblStyle w:val="a3"/>
        <w:tblpPr w:leftFromText="180" w:rightFromText="180" w:vertAnchor="page" w:horzAnchor="page" w:tblpX="1461" w:tblpY="2853"/>
        <w:tblOverlap w:val="never"/>
        <w:tblW w:w="14174" w:type="dxa"/>
        <w:tblLook w:val="04A0" w:firstRow="1" w:lastRow="0" w:firstColumn="1" w:lastColumn="0" w:noHBand="0" w:noVBand="1"/>
      </w:tblPr>
      <w:tblGrid>
        <w:gridCol w:w="534"/>
        <w:gridCol w:w="1842"/>
        <w:gridCol w:w="1134"/>
        <w:gridCol w:w="2552"/>
        <w:gridCol w:w="1276"/>
        <w:gridCol w:w="1417"/>
        <w:gridCol w:w="5419"/>
      </w:tblGrid>
      <w:tr w:rsidR="001D6F17" w:rsidTr="001D6F17">
        <w:trPr>
          <w:trHeight w:val="614"/>
        </w:trPr>
        <w:tc>
          <w:tcPr>
            <w:tcW w:w="534" w:type="dxa"/>
            <w:vAlign w:val="center"/>
          </w:tcPr>
          <w:p w:rsidR="00A76D51" w:rsidRDefault="00A76D51" w:rsidP="00A76D51">
            <w:pPr>
              <w:jc w:val="left"/>
              <w:rPr>
                <w:rFonts w:asciiTheme="minorEastAsia" w:hAnsiTheme="minorEastAsia" w:cstheme="minorEastAsia"/>
              </w:rPr>
            </w:pPr>
            <w:r>
              <w:rPr>
                <w:rFonts w:asciiTheme="minorEastAsia" w:hAnsiTheme="minorEastAsia" w:cstheme="minorEastAsia" w:hint="eastAsia"/>
              </w:rPr>
              <w:t>序号</w:t>
            </w:r>
          </w:p>
        </w:tc>
        <w:tc>
          <w:tcPr>
            <w:tcW w:w="1842" w:type="dxa"/>
            <w:vAlign w:val="center"/>
          </w:tcPr>
          <w:p w:rsidR="00A76D51" w:rsidRDefault="00A76D51" w:rsidP="00A76D51">
            <w:pPr>
              <w:jc w:val="left"/>
              <w:rPr>
                <w:rFonts w:asciiTheme="minorEastAsia" w:hAnsiTheme="minorEastAsia" w:cstheme="minorEastAsia"/>
              </w:rPr>
            </w:pPr>
            <w:r>
              <w:rPr>
                <w:rFonts w:asciiTheme="minorEastAsia" w:hAnsiTheme="minorEastAsia" w:cstheme="minorEastAsia" w:hint="eastAsia"/>
              </w:rPr>
              <w:t>政务服务事项名称</w:t>
            </w:r>
          </w:p>
        </w:tc>
        <w:tc>
          <w:tcPr>
            <w:tcW w:w="1134" w:type="dxa"/>
            <w:vAlign w:val="center"/>
          </w:tcPr>
          <w:p w:rsidR="00A76D51" w:rsidRDefault="00A76D51" w:rsidP="00A76D51">
            <w:pPr>
              <w:jc w:val="left"/>
              <w:rPr>
                <w:rFonts w:asciiTheme="minorEastAsia" w:hAnsiTheme="minorEastAsia" w:cstheme="minorEastAsia"/>
              </w:rPr>
            </w:pPr>
            <w:r>
              <w:rPr>
                <w:rFonts w:asciiTheme="minorEastAsia" w:hAnsiTheme="minorEastAsia" w:cstheme="minorEastAsia" w:hint="eastAsia"/>
              </w:rPr>
              <w:t>证明事项名称</w:t>
            </w:r>
          </w:p>
        </w:tc>
        <w:tc>
          <w:tcPr>
            <w:tcW w:w="2552" w:type="dxa"/>
            <w:vAlign w:val="center"/>
          </w:tcPr>
          <w:p w:rsidR="00A76D51" w:rsidRDefault="00A76D51" w:rsidP="00A76D51">
            <w:pPr>
              <w:widowControl/>
              <w:jc w:val="left"/>
              <w:textAlignment w:val="center"/>
              <w:rPr>
                <w:rFonts w:asciiTheme="minorEastAsia" w:hAnsiTheme="minorEastAsia" w:cstheme="minorEastAsia"/>
              </w:rPr>
            </w:pPr>
            <w:r>
              <w:rPr>
                <w:rFonts w:asciiTheme="minorEastAsia" w:hAnsiTheme="minorEastAsia" w:cstheme="minorEastAsia" w:hint="eastAsia"/>
                <w:color w:val="000000"/>
                <w:szCs w:val="20"/>
              </w:rPr>
              <w:t>设定依据</w:t>
            </w:r>
          </w:p>
        </w:tc>
        <w:tc>
          <w:tcPr>
            <w:tcW w:w="1276" w:type="dxa"/>
          </w:tcPr>
          <w:p w:rsidR="00A76D51" w:rsidRDefault="00A76D51" w:rsidP="00A76D51">
            <w:pPr>
              <w:widowControl/>
              <w:jc w:val="left"/>
              <w:textAlignment w:val="center"/>
              <w:rPr>
                <w:rFonts w:asciiTheme="minorEastAsia" w:hAnsiTheme="minorEastAsia" w:cstheme="minorEastAsia"/>
              </w:rPr>
            </w:pPr>
            <w:r>
              <w:rPr>
                <w:rFonts w:asciiTheme="minorEastAsia" w:hAnsiTheme="minorEastAsia" w:cstheme="minorEastAsia" w:hint="eastAsia"/>
              </w:rPr>
              <w:t>证明事项</w:t>
            </w:r>
          </w:p>
          <w:p w:rsidR="00A76D51" w:rsidRDefault="00A76D51" w:rsidP="00A76D51">
            <w:pPr>
              <w:widowControl/>
              <w:jc w:val="left"/>
              <w:textAlignment w:val="center"/>
              <w:rPr>
                <w:rFonts w:asciiTheme="minorEastAsia" w:hAnsiTheme="minorEastAsia" w:cstheme="minorEastAsia"/>
              </w:rPr>
            </w:pPr>
            <w:r>
              <w:rPr>
                <w:rFonts w:asciiTheme="minorEastAsia" w:hAnsiTheme="minorEastAsia" w:cstheme="minorEastAsia" w:hint="eastAsia"/>
              </w:rPr>
              <w:t>（材料名称）</w:t>
            </w:r>
          </w:p>
        </w:tc>
        <w:tc>
          <w:tcPr>
            <w:tcW w:w="1417" w:type="dxa"/>
            <w:vAlign w:val="center"/>
          </w:tcPr>
          <w:p w:rsidR="00A76D51" w:rsidRDefault="00A76D51" w:rsidP="00A76D51">
            <w:pPr>
              <w:widowControl/>
              <w:jc w:val="left"/>
              <w:textAlignment w:val="center"/>
              <w:rPr>
                <w:rFonts w:asciiTheme="minorEastAsia" w:hAnsiTheme="minorEastAsia" w:cstheme="minorEastAsia"/>
              </w:rPr>
            </w:pPr>
            <w:r>
              <w:rPr>
                <w:rFonts w:asciiTheme="minorEastAsia" w:hAnsiTheme="minorEastAsia" w:cstheme="minorEastAsia" w:hint="eastAsia"/>
              </w:rPr>
              <w:t>实施方式</w:t>
            </w:r>
          </w:p>
        </w:tc>
        <w:tc>
          <w:tcPr>
            <w:tcW w:w="5419" w:type="dxa"/>
            <w:vAlign w:val="center"/>
          </w:tcPr>
          <w:p w:rsidR="00A76D51" w:rsidRDefault="00A76D51" w:rsidP="00A76D51">
            <w:pPr>
              <w:jc w:val="left"/>
              <w:rPr>
                <w:rFonts w:asciiTheme="minorEastAsia" w:hAnsiTheme="minorEastAsia" w:cstheme="minorEastAsia"/>
              </w:rPr>
            </w:pPr>
            <w:r>
              <w:rPr>
                <w:rFonts w:asciiTheme="minorEastAsia" w:hAnsiTheme="minorEastAsia" w:cstheme="minorEastAsia" w:hint="eastAsia"/>
              </w:rPr>
              <w:t>备注</w:t>
            </w:r>
          </w:p>
        </w:tc>
      </w:tr>
      <w:tr w:rsidR="001D6F17" w:rsidTr="002A408B">
        <w:trPr>
          <w:trHeight w:val="2157"/>
        </w:trPr>
        <w:tc>
          <w:tcPr>
            <w:tcW w:w="5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1</w:t>
            </w:r>
          </w:p>
        </w:tc>
        <w:tc>
          <w:tcPr>
            <w:tcW w:w="184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医师执业注册（含外籍医师、港澳台医师短期执业许可（首次注册）</w:t>
            </w:r>
          </w:p>
        </w:tc>
        <w:tc>
          <w:tcPr>
            <w:tcW w:w="11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医师执业注册（首次注册）</w:t>
            </w:r>
          </w:p>
        </w:tc>
        <w:tc>
          <w:tcPr>
            <w:tcW w:w="255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《中华人民共和国执业医师法》第十三条 国家实行医师执业注册制度。取得医师资格的，可以向所在地县级以上人民政府卫生行政部门申请注册。</w:t>
            </w:r>
          </w:p>
        </w:tc>
        <w:tc>
          <w:tcPr>
            <w:tcW w:w="1276" w:type="dxa"/>
          </w:tcPr>
          <w:p w:rsidR="001D6F17" w:rsidRPr="00A76D51" w:rsidRDefault="001D6F17"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近6个月内二级及以上综合医院健康体检证明</w:t>
            </w:r>
          </w:p>
        </w:tc>
        <w:tc>
          <w:tcPr>
            <w:tcW w:w="1417"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申请人可以选择采取书面承诺方式或者提供有关证明</w:t>
            </w:r>
          </w:p>
        </w:tc>
        <w:tc>
          <w:tcPr>
            <w:tcW w:w="5419" w:type="dxa"/>
            <w:vAlign w:val="center"/>
          </w:tcPr>
          <w:p w:rsidR="00A76D51" w:rsidRPr="00A76D51" w:rsidRDefault="00A76D51" w:rsidP="001D6F17">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color w:val="000000"/>
                <w:sz w:val="18"/>
                <w:szCs w:val="18"/>
                <w:shd w:val="clear" w:color="auto" w:fill="FFFFFF"/>
              </w:rPr>
              <w:t>《医师执业注册管理办法》（国家卫生和计划生育委员会令第13号, 于2017年2月3日经国家卫生计生委委主任会议讨论通过</w:t>
            </w:r>
            <w:r w:rsidRPr="00A76D51">
              <w:rPr>
                <w:rFonts w:ascii="微软雅黑" w:eastAsia="微软雅黑" w:hAnsi="微软雅黑" w:hint="eastAsia"/>
                <w:color w:val="000000"/>
                <w:sz w:val="18"/>
                <w:szCs w:val="18"/>
                <w:shd w:val="clear" w:color="auto" w:fill="FFFFFF"/>
              </w:rPr>
              <w:t>，</w:t>
            </w:r>
            <w:r w:rsidRPr="00A76D51">
              <w:rPr>
                <w:rFonts w:ascii="微软雅黑" w:eastAsia="微软雅黑" w:hAnsi="微软雅黑"/>
                <w:color w:val="000000"/>
                <w:sz w:val="18"/>
                <w:szCs w:val="18"/>
                <w:shd w:val="clear" w:color="auto" w:fill="FFFFFF"/>
              </w:rPr>
              <w:t>自2017年4月1日起施行。）第六条 有下列情形之一的，不予注册：（四）甲类、乙类传染病传染期、精神疾病发病期以及身体残疾等健康状况不适宜或者不能胜任医疗、预防、保健业务工作。</w:t>
            </w:r>
          </w:p>
        </w:tc>
      </w:tr>
      <w:tr w:rsidR="001D6F17" w:rsidTr="001D6F17">
        <w:trPr>
          <w:trHeight w:val="2427"/>
        </w:trPr>
        <w:tc>
          <w:tcPr>
            <w:tcW w:w="5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2</w:t>
            </w:r>
          </w:p>
        </w:tc>
        <w:tc>
          <w:tcPr>
            <w:tcW w:w="184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医师执业注册（含外籍医师、港澳台医师短期执业许可（重新注册）</w:t>
            </w:r>
          </w:p>
        </w:tc>
        <w:tc>
          <w:tcPr>
            <w:tcW w:w="11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医师执业注册（重新注册）</w:t>
            </w:r>
          </w:p>
        </w:tc>
        <w:tc>
          <w:tcPr>
            <w:tcW w:w="255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《中华人民共和国执业医师法》第十三条 国家实行医师执业注册制度。取得医师资格的，可以向所在地县级以上人民政府卫生行政部门申请注册。</w:t>
            </w:r>
          </w:p>
        </w:tc>
        <w:tc>
          <w:tcPr>
            <w:tcW w:w="1276" w:type="dxa"/>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近6个月内二级及以上综合医院健康体检证明</w:t>
            </w:r>
          </w:p>
        </w:tc>
        <w:tc>
          <w:tcPr>
            <w:tcW w:w="1417"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申请人可以选择采取书面承诺方式或者提供有关证明</w:t>
            </w:r>
          </w:p>
        </w:tc>
        <w:tc>
          <w:tcPr>
            <w:tcW w:w="5419"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color w:val="000000"/>
                <w:sz w:val="18"/>
                <w:szCs w:val="18"/>
                <w:shd w:val="clear" w:color="auto" w:fill="FFFFFF"/>
              </w:rPr>
              <w:t>《医师执业注册管理办法》（国家卫生和计划生育委员会令第13号, 于2017年2月3日经国家卫生计生委委主任会议讨论通过</w:t>
            </w:r>
            <w:r w:rsidRPr="00A76D51">
              <w:rPr>
                <w:rFonts w:ascii="微软雅黑" w:eastAsia="微软雅黑" w:hAnsi="微软雅黑" w:hint="eastAsia"/>
                <w:color w:val="000000"/>
                <w:sz w:val="18"/>
                <w:szCs w:val="18"/>
                <w:shd w:val="clear" w:color="auto" w:fill="FFFFFF"/>
              </w:rPr>
              <w:t>，</w:t>
            </w:r>
            <w:r w:rsidRPr="00A76D51">
              <w:rPr>
                <w:rFonts w:ascii="微软雅黑" w:eastAsia="微软雅黑" w:hAnsi="微软雅黑"/>
                <w:color w:val="000000"/>
                <w:sz w:val="18"/>
                <w:szCs w:val="18"/>
                <w:shd w:val="clear" w:color="auto" w:fill="FFFFFF"/>
              </w:rPr>
              <w:t>自2017年4月1日起施行。）第六条 有下列情形之一的，不予注册：（四）甲类、乙类传染病传染期、精神疾病发病期以及身体残疾等健康状况不适宜或者不能胜任医疗、预防、保健业务工作。</w:t>
            </w: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tc>
      </w:tr>
      <w:tr w:rsidR="001D6F17" w:rsidTr="002A408B">
        <w:trPr>
          <w:trHeight w:val="4522"/>
        </w:trPr>
        <w:tc>
          <w:tcPr>
            <w:tcW w:w="5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lastRenderedPageBreak/>
              <w:t>3</w:t>
            </w:r>
          </w:p>
        </w:tc>
        <w:tc>
          <w:tcPr>
            <w:tcW w:w="184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护士执业注册（首次注册）</w:t>
            </w:r>
          </w:p>
        </w:tc>
        <w:tc>
          <w:tcPr>
            <w:tcW w:w="11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护士执业注册（首次注册）</w:t>
            </w:r>
          </w:p>
        </w:tc>
        <w:tc>
          <w:tcPr>
            <w:tcW w:w="255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《护士条例》第七条 护士执业，应当经执业注册取得护士执业证书。第八条 申请护士执业注册的，应当向批准设立拟执业医疗机构或者为该医疗机构备案的卫生主管部门提出申请。</w:t>
            </w:r>
          </w:p>
        </w:tc>
        <w:tc>
          <w:tcPr>
            <w:tcW w:w="1276" w:type="dxa"/>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近6个月内二级及以上综合医院健康体检证明</w:t>
            </w:r>
          </w:p>
        </w:tc>
        <w:tc>
          <w:tcPr>
            <w:tcW w:w="1417"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申请人可以选择采取书面承诺方式或者提供有关证明</w:t>
            </w:r>
          </w:p>
        </w:tc>
        <w:tc>
          <w:tcPr>
            <w:tcW w:w="5419" w:type="dxa"/>
            <w:vAlign w:val="center"/>
          </w:tcPr>
          <w:p w:rsidR="00A76D51" w:rsidRPr="00A76D51" w:rsidRDefault="002A408B" w:rsidP="00A76D51">
            <w:pPr>
              <w:widowControl/>
              <w:spacing w:before="75" w:after="75" w:line="400" w:lineRule="exact"/>
              <w:ind w:firstLine="482"/>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w:t>
            </w:r>
            <w:r w:rsidRPr="00A76D51">
              <w:rPr>
                <w:rFonts w:ascii="微软雅黑" w:eastAsia="微软雅黑" w:hAnsi="微软雅黑" w:hint="eastAsia"/>
                <w:color w:val="000000"/>
                <w:sz w:val="18"/>
                <w:szCs w:val="18"/>
                <w:shd w:val="clear" w:color="auto" w:fill="FFFFFF"/>
              </w:rPr>
              <w:t>(中华人民共和国国务院令第517号, 2020年国务院令第726号修改)第二章第七条护士执业，应当经执业注册取得</w:t>
            </w:r>
            <w:hyperlink r:id="rId6" w:tgtFrame="https://baike.baidu.com/item/_blank" w:history="1">
              <w:r w:rsidRPr="00A76D51">
                <w:rPr>
                  <w:rFonts w:ascii="微软雅黑" w:eastAsia="微软雅黑" w:hAnsi="微软雅黑" w:hint="eastAsia"/>
                  <w:color w:val="000000"/>
                  <w:sz w:val="18"/>
                  <w:szCs w:val="18"/>
                  <w:shd w:val="clear" w:color="auto" w:fill="FFFFFF"/>
                </w:rPr>
                <w:t>护士执业证书</w:t>
              </w:r>
            </w:hyperlink>
            <w:r w:rsidRPr="00A76D51">
              <w:rPr>
                <w:rFonts w:ascii="微软雅黑" w:eastAsia="微软雅黑" w:hAnsi="微软雅黑" w:hint="eastAsia"/>
                <w:color w:val="000000"/>
                <w:sz w:val="18"/>
                <w:szCs w:val="18"/>
                <w:shd w:val="clear" w:color="auto" w:fill="FFFFFF"/>
              </w:rPr>
              <w:t>。申请护士执业注册，应当具备下列条件：（二）在</w:t>
            </w:r>
            <w:hyperlink r:id="rId7" w:tgtFrame="https://baike.baidu.com/item/_blank" w:history="1">
              <w:r w:rsidRPr="00A76D51">
                <w:rPr>
                  <w:rFonts w:ascii="微软雅黑" w:eastAsia="微软雅黑" w:hAnsi="微软雅黑" w:hint="eastAsia"/>
                  <w:color w:val="000000"/>
                  <w:sz w:val="18"/>
                  <w:szCs w:val="18"/>
                  <w:shd w:val="clear" w:color="auto" w:fill="FFFFFF"/>
                </w:rPr>
                <w:t>中等职业学校</w:t>
              </w:r>
            </w:hyperlink>
            <w:r w:rsidRPr="00A76D51">
              <w:rPr>
                <w:rFonts w:ascii="微软雅黑" w:eastAsia="微软雅黑" w:hAnsi="微软雅黑" w:hint="eastAsia"/>
                <w:color w:val="000000"/>
                <w:sz w:val="18"/>
                <w:szCs w:val="18"/>
                <w:shd w:val="clear" w:color="auto" w:fill="FFFFFF"/>
              </w:rPr>
              <w:t>、高等学校完成国务院教育主管部门和国务院卫生主管部门规定的普通全日制3年以上的护理、助产专业课程学习，包括在教学、综合医院完成8个月以上护理临床实习，并取得相应学历证书；（四）符合国务院卫生主管部门规定的健康标准。《护士执业注册管理办法》（卫生部令第59号）第七条  申请护士执业注册，应当提交下列材料：（三）申请人学历证书及专业学习中的临床实习证明；（五）省、自治区、直辖市人民政府卫生行政部门指定的医疗机构出具的申请人6个月内健康体检证明。</w:t>
            </w:r>
          </w:p>
        </w:tc>
      </w:tr>
      <w:tr w:rsidR="00A76D51" w:rsidTr="001D6F17">
        <w:trPr>
          <w:trHeight w:val="1547"/>
        </w:trPr>
        <w:tc>
          <w:tcPr>
            <w:tcW w:w="5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4</w:t>
            </w:r>
          </w:p>
        </w:tc>
        <w:tc>
          <w:tcPr>
            <w:tcW w:w="184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w:t>
            </w:r>
          </w:p>
        </w:tc>
        <w:tc>
          <w:tcPr>
            <w:tcW w:w="11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护士执业注册（首次注册）</w:t>
            </w:r>
          </w:p>
        </w:tc>
        <w:tc>
          <w:tcPr>
            <w:tcW w:w="2552" w:type="dxa"/>
            <w:vAlign w:val="center"/>
          </w:tcPr>
          <w:p w:rsid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《护士条例》第七条 护士执业，应当经执业注册取得护士执业证书。第八条 申请护士执业注册的，应当向批准设立拟执业医疗机构或者为该医疗机构备案的卫生主管部门提出申请。</w:t>
            </w:r>
          </w:p>
        </w:tc>
        <w:tc>
          <w:tcPr>
            <w:tcW w:w="1276" w:type="dxa"/>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申请人学历证书及专业学习中的临床实习证明</w:t>
            </w:r>
          </w:p>
        </w:tc>
        <w:tc>
          <w:tcPr>
            <w:tcW w:w="1417"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申请人可以选择采取书面承诺方式或者提供有关证明</w:t>
            </w:r>
          </w:p>
        </w:tc>
        <w:tc>
          <w:tcPr>
            <w:tcW w:w="5419" w:type="dxa"/>
            <w:vAlign w:val="center"/>
          </w:tcPr>
          <w:p w:rsid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w:t>
            </w:r>
            <w:r w:rsidRPr="00A76D51">
              <w:rPr>
                <w:rFonts w:ascii="微软雅黑" w:eastAsia="微软雅黑" w:hAnsi="微软雅黑" w:hint="eastAsia"/>
                <w:color w:val="000000"/>
                <w:sz w:val="18"/>
                <w:szCs w:val="18"/>
                <w:shd w:val="clear" w:color="auto" w:fill="FFFFFF"/>
              </w:rPr>
              <w:t>(中华人民共和国国务院令第517号, 2020年国务院令第726号修改)第二章第七条护士执业，应当经执业注册取得</w:t>
            </w:r>
            <w:hyperlink r:id="rId8" w:tgtFrame="https://baike.baidu.com/item/_blank" w:history="1">
              <w:r w:rsidRPr="00A76D51">
                <w:rPr>
                  <w:rFonts w:ascii="微软雅黑" w:eastAsia="微软雅黑" w:hAnsi="微软雅黑" w:hint="eastAsia"/>
                  <w:color w:val="000000"/>
                  <w:sz w:val="18"/>
                  <w:szCs w:val="18"/>
                  <w:shd w:val="clear" w:color="auto" w:fill="FFFFFF"/>
                </w:rPr>
                <w:t>护士执业证书</w:t>
              </w:r>
            </w:hyperlink>
            <w:r w:rsidRPr="00A76D51">
              <w:rPr>
                <w:rFonts w:ascii="微软雅黑" w:eastAsia="微软雅黑" w:hAnsi="微软雅黑" w:hint="eastAsia"/>
                <w:color w:val="000000"/>
                <w:sz w:val="18"/>
                <w:szCs w:val="18"/>
                <w:shd w:val="clear" w:color="auto" w:fill="FFFFFF"/>
              </w:rPr>
              <w:t>。申请护士执业注册，应当具备下列条件：（二）在</w:t>
            </w:r>
            <w:hyperlink r:id="rId9" w:tgtFrame="https://baike.baidu.com/item/_blank" w:history="1">
              <w:r w:rsidRPr="00A76D51">
                <w:rPr>
                  <w:rFonts w:ascii="微软雅黑" w:eastAsia="微软雅黑" w:hAnsi="微软雅黑" w:hint="eastAsia"/>
                  <w:color w:val="000000"/>
                  <w:sz w:val="18"/>
                  <w:szCs w:val="18"/>
                  <w:shd w:val="clear" w:color="auto" w:fill="FFFFFF"/>
                </w:rPr>
                <w:t>中等职业学校</w:t>
              </w:r>
            </w:hyperlink>
            <w:r w:rsidRPr="00A76D51">
              <w:rPr>
                <w:rFonts w:ascii="微软雅黑" w:eastAsia="微软雅黑" w:hAnsi="微软雅黑" w:hint="eastAsia"/>
                <w:color w:val="000000"/>
                <w:sz w:val="18"/>
                <w:szCs w:val="18"/>
                <w:shd w:val="clear" w:color="auto" w:fill="FFFFFF"/>
              </w:rPr>
              <w:t>、高等学校完成国务院教育主管部门和国务院卫生主管部门规定的普通全日制3年以上的护理、助产专业课程学习，包括在教学、综合医院完成8个月以上护理临床实习，并取得相应学历证书；（四）符合国务院卫生主管部门规定的健康标准。《护士执业注册管理办法》（卫生部令第59号）第七条  申请护士执业注册，应当提交下列材料：（三）申请人学历证书及专业学习中的临床实习证明；（五）省、自治区、直辖市人民政府卫生行政部门指定的医疗机构出具的申请人6个月内健康体检证明。</w:t>
            </w:r>
          </w:p>
        </w:tc>
      </w:tr>
      <w:tr w:rsidR="00A76D51" w:rsidTr="001D6F17">
        <w:trPr>
          <w:trHeight w:val="1537"/>
        </w:trPr>
        <w:tc>
          <w:tcPr>
            <w:tcW w:w="5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lastRenderedPageBreak/>
              <w:t>5</w:t>
            </w:r>
          </w:p>
        </w:tc>
        <w:tc>
          <w:tcPr>
            <w:tcW w:w="184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w:t>
            </w:r>
          </w:p>
        </w:tc>
        <w:tc>
          <w:tcPr>
            <w:tcW w:w="1134"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护士执业注册（（延续注册））</w:t>
            </w:r>
          </w:p>
        </w:tc>
        <w:tc>
          <w:tcPr>
            <w:tcW w:w="2552"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《护士条例》第七条 护士执业，应当经执业注册取得护士执业证书。第八条 申请护士执业注册的，应当向批准设立拟执业医疗机构或者为该医疗机构备案的卫生主管部门提出申请。</w:t>
            </w:r>
          </w:p>
        </w:tc>
        <w:tc>
          <w:tcPr>
            <w:tcW w:w="1276" w:type="dxa"/>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p>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近6个月内二级及以上综合医院健康体检证明</w:t>
            </w:r>
          </w:p>
        </w:tc>
        <w:tc>
          <w:tcPr>
            <w:tcW w:w="1417" w:type="dxa"/>
            <w:vAlign w:val="center"/>
          </w:tcPr>
          <w:p w:rsidR="00A76D51" w:rsidRPr="00A76D51" w:rsidRDefault="00A76D51" w:rsidP="00A76D51">
            <w:pPr>
              <w:widowControl/>
              <w:jc w:val="left"/>
              <w:textAlignment w:val="center"/>
              <w:rPr>
                <w:rFonts w:ascii="微软雅黑" w:eastAsia="微软雅黑" w:hAnsi="微软雅黑"/>
                <w:color w:val="000000"/>
                <w:sz w:val="18"/>
                <w:szCs w:val="18"/>
                <w:shd w:val="clear" w:color="auto" w:fill="FFFFFF"/>
              </w:rPr>
            </w:pPr>
            <w:r w:rsidRPr="00A76D51">
              <w:rPr>
                <w:rFonts w:ascii="微软雅黑" w:eastAsia="微软雅黑" w:hAnsi="微软雅黑" w:hint="eastAsia"/>
                <w:color w:val="000000"/>
                <w:sz w:val="18"/>
                <w:szCs w:val="18"/>
                <w:shd w:val="clear" w:color="auto" w:fill="FFFFFF"/>
              </w:rPr>
              <w:t>申请人可以选择采取书面承诺方式或者提供有关证明</w:t>
            </w:r>
          </w:p>
        </w:tc>
        <w:tc>
          <w:tcPr>
            <w:tcW w:w="5419" w:type="dxa"/>
            <w:vAlign w:val="center"/>
          </w:tcPr>
          <w:p w:rsidR="00A76D51" w:rsidRDefault="00A76D51" w:rsidP="00A76D51">
            <w:pPr>
              <w:widowControl/>
              <w:jc w:val="left"/>
              <w:textAlignment w:val="cente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《护士条例》</w:t>
            </w:r>
            <w:r w:rsidRPr="00A76D51">
              <w:rPr>
                <w:rFonts w:ascii="微软雅黑" w:eastAsia="微软雅黑" w:hAnsi="微软雅黑" w:hint="eastAsia"/>
                <w:color w:val="000000"/>
                <w:sz w:val="18"/>
                <w:szCs w:val="18"/>
                <w:shd w:val="clear" w:color="auto" w:fill="FFFFFF"/>
              </w:rPr>
              <w:t>(中华人民共和国国务院令第517号, 2020年国务院令第726号修改)第二章第七条护士执业，应当经执业注册取得</w:t>
            </w:r>
            <w:hyperlink r:id="rId10" w:tgtFrame="https://baike.baidu.com/item/_blank" w:history="1">
              <w:r w:rsidRPr="00A76D51">
                <w:rPr>
                  <w:rFonts w:ascii="微软雅黑" w:eastAsia="微软雅黑" w:hAnsi="微软雅黑" w:hint="eastAsia"/>
                  <w:color w:val="000000"/>
                  <w:sz w:val="18"/>
                  <w:szCs w:val="18"/>
                  <w:shd w:val="clear" w:color="auto" w:fill="FFFFFF"/>
                </w:rPr>
                <w:t>护士执业证书</w:t>
              </w:r>
            </w:hyperlink>
            <w:r w:rsidRPr="00A76D51">
              <w:rPr>
                <w:rFonts w:ascii="微软雅黑" w:eastAsia="微软雅黑" w:hAnsi="微软雅黑" w:hint="eastAsia"/>
                <w:color w:val="000000"/>
                <w:sz w:val="18"/>
                <w:szCs w:val="18"/>
                <w:shd w:val="clear" w:color="auto" w:fill="FFFFFF"/>
              </w:rPr>
              <w:t>。申请护士执业注册，应当具备下列条件：（二）在</w:t>
            </w:r>
            <w:hyperlink r:id="rId11" w:tgtFrame="https://baike.baidu.com/item/_blank" w:history="1">
              <w:r w:rsidRPr="00A76D51">
                <w:rPr>
                  <w:rFonts w:ascii="微软雅黑" w:eastAsia="微软雅黑" w:hAnsi="微软雅黑" w:hint="eastAsia"/>
                  <w:color w:val="000000"/>
                  <w:sz w:val="18"/>
                  <w:szCs w:val="18"/>
                  <w:shd w:val="clear" w:color="auto" w:fill="FFFFFF"/>
                </w:rPr>
                <w:t>中等职业学校</w:t>
              </w:r>
            </w:hyperlink>
            <w:r w:rsidRPr="00A76D51">
              <w:rPr>
                <w:rFonts w:ascii="微软雅黑" w:eastAsia="微软雅黑" w:hAnsi="微软雅黑" w:hint="eastAsia"/>
                <w:color w:val="000000"/>
                <w:sz w:val="18"/>
                <w:szCs w:val="18"/>
                <w:shd w:val="clear" w:color="auto" w:fill="FFFFFF"/>
              </w:rPr>
              <w:t>、高等学校完成国务院教育主管部门和国务院卫生主管部门规定的普通全日制3年以上的护理、助产专业课程学习，包括在教学、综合医院完成8个月以上护理临床实习，并取得相应学历证书；（四）符合国务院卫生主管部门规定的健康标准。《护士执业注册管理办法》（卫生部令第59号）第七条  申请护士执业注册，应当提交下列材料：（三）申请人学历证书及专业学习中的临床实习证明；（五）省、自治区、直辖市人民政府卫生行政部门指定的医疗机构出具的申请人6个月内健康体检证明。</w:t>
            </w:r>
          </w:p>
        </w:tc>
      </w:tr>
    </w:tbl>
    <w:p w:rsidR="00155288" w:rsidRPr="00A76D51" w:rsidRDefault="00155288" w:rsidP="00A76D51">
      <w:pPr>
        <w:jc w:val="left"/>
      </w:pPr>
    </w:p>
    <w:sectPr w:rsidR="00155288" w:rsidRPr="00A76D51" w:rsidSect="00A76D5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51"/>
    <w:rsid w:val="00155288"/>
    <w:rsid w:val="001D6F17"/>
    <w:rsid w:val="002A408B"/>
    <w:rsid w:val="00865E58"/>
    <w:rsid w:val="00A34EC6"/>
    <w:rsid w:val="00A7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76D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A76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D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76D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A76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A%A4%E5%A3%AB%E6%89%A7%E4%B8%9A%E8%AF%81%E4%B9%A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ike.baidu.com/item/%E4%B8%AD%E7%AD%89%E8%81%8C%E4%B8%9A%E5%AD%A6%E6%A0%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6%8A%A4%E5%A3%AB%E6%89%A7%E4%B8%9A%E8%AF%81%E4%B9%A6" TargetMode="External"/><Relationship Id="rId11" Type="http://schemas.openxmlformats.org/officeDocument/2006/relationships/hyperlink" Target="https://baike.baidu.com/item/%E4%B8%AD%E7%AD%89%E8%81%8C%E4%B8%9A%E5%AD%A6%E6%A0%A1" TargetMode="External"/><Relationship Id="rId5" Type="http://schemas.openxmlformats.org/officeDocument/2006/relationships/webSettings" Target="webSettings.xml"/><Relationship Id="rId10" Type="http://schemas.openxmlformats.org/officeDocument/2006/relationships/hyperlink" Target="https://baike.baidu.com/item/%E6%8A%A4%E5%A3%AB%E6%89%A7%E4%B8%9A%E8%AF%81%E4%B9%A6" TargetMode="External"/><Relationship Id="rId4" Type="http://schemas.openxmlformats.org/officeDocument/2006/relationships/settings" Target="settings.xml"/><Relationship Id="rId9" Type="http://schemas.openxmlformats.org/officeDocument/2006/relationships/hyperlink" Target="https://baike.baidu.com/item/%E4%B8%AD%E7%AD%89%E8%81%8C%E4%B8%9A%E5%AD%A6%E6%A0%A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5F81-8248-463F-BD01-A4E4CB55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2021-07-23T06:48:00Z</dcterms:created>
  <dcterms:modified xsi:type="dcterms:W3CDTF">2021-07-23T07:20:00Z</dcterms:modified>
</cp:coreProperties>
</file>