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bookmarkStart w:id="0" w:name="_GoBack"/>
      <w:r>
        <w:rPr>
          <w:rFonts w:hint="eastAsia" w:ascii="黑体" w:hAnsi="黑体" w:eastAsia="黑体" w:cs="黑体"/>
          <w:sz w:val="44"/>
          <w:szCs w:val="44"/>
        </w:rPr>
        <w:t>洱源县市场监督管理局</w:t>
      </w:r>
    </w:p>
    <w:p>
      <w:pPr>
        <w:spacing w:afterLines="100"/>
        <w:jc w:val="center"/>
        <w:rPr>
          <w:rFonts w:ascii="黑体" w:hAnsi="黑体" w:eastAsia="黑体" w:cs="黑体"/>
          <w:sz w:val="44"/>
          <w:szCs w:val="44"/>
        </w:rPr>
      </w:pPr>
      <w:r>
        <w:rPr>
          <w:rFonts w:hint="eastAsia" w:ascii="黑体" w:hAnsi="黑体" w:eastAsia="黑体" w:cs="黑体"/>
          <w:sz w:val="44"/>
          <w:szCs w:val="44"/>
        </w:rPr>
        <w:t>2022年法治政府建设情况报告</w:t>
      </w:r>
    </w:p>
    <w:p>
      <w:pPr>
        <w:ind w:firstLine="640" w:firstLineChars="200"/>
        <w:rPr>
          <w:sz w:val="32"/>
          <w:szCs w:val="32"/>
        </w:rPr>
      </w:pPr>
      <w:r>
        <w:rPr>
          <w:sz w:val="32"/>
          <w:szCs w:val="32"/>
        </w:rPr>
        <w:t>2022年，我局以习近平新时代中国特色社会主义思想为指导，深入学习贯彻习近平法治思想，认真落实法治政府建设工作，</w:t>
      </w:r>
      <w:r>
        <w:rPr>
          <w:rFonts w:hint="eastAsia"/>
          <w:sz w:val="32"/>
          <w:szCs w:val="32"/>
        </w:rPr>
        <w:t>促进</w:t>
      </w:r>
      <w:r>
        <w:rPr>
          <w:sz w:val="32"/>
          <w:szCs w:val="32"/>
        </w:rPr>
        <w:t>法治政府建设与</w:t>
      </w:r>
      <w:r>
        <w:rPr>
          <w:rFonts w:hint="eastAsia"/>
          <w:sz w:val="32"/>
          <w:szCs w:val="32"/>
        </w:rPr>
        <w:t>市场监管工作</w:t>
      </w:r>
      <w:r>
        <w:rPr>
          <w:sz w:val="32"/>
          <w:szCs w:val="32"/>
        </w:rPr>
        <w:t>有</w:t>
      </w:r>
      <w:r>
        <w:rPr>
          <w:rFonts w:hint="eastAsia"/>
          <w:sz w:val="32"/>
          <w:szCs w:val="32"/>
        </w:rPr>
        <w:t>机</w:t>
      </w:r>
      <w:r>
        <w:rPr>
          <w:sz w:val="32"/>
          <w:szCs w:val="32"/>
        </w:rPr>
        <w:t>结合</w:t>
      </w:r>
      <w:r>
        <w:rPr>
          <w:rFonts w:hint="eastAsia"/>
          <w:sz w:val="32"/>
          <w:szCs w:val="32"/>
        </w:rPr>
        <w:t>，</w:t>
      </w:r>
      <w:r>
        <w:rPr>
          <w:sz w:val="32"/>
          <w:szCs w:val="32"/>
        </w:rPr>
        <w:t>齐抓并举，依法履职。根据《法治政府建设与责任落实督察工作规定》要求，现</w:t>
      </w:r>
      <w:r>
        <w:rPr>
          <w:rFonts w:hint="eastAsia"/>
          <w:sz w:val="32"/>
          <w:szCs w:val="32"/>
        </w:rPr>
        <w:t>将我</w:t>
      </w:r>
      <w:r>
        <w:rPr>
          <w:sz w:val="32"/>
          <w:szCs w:val="32"/>
        </w:rPr>
        <w:t>局2022年法治政府建设工作情况报告如下：</w:t>
      </w:r>
    </w:p>
    <w:p>
      <w:pPr>
        <w:ind w:firstLine="643" w:firstLineChars="200"/>
        <w:rPr>
          <w:b/>
          <w:bCs/>
          <w:sz w:val="32"/>
          <w:szCs w:val="32"/>
        </w:rPr>
      </w:pPr>
      <w:r>
        <w:rPr>
          <w:rFonts w:hint="eastAsia"/>
          <w:b/>
          <w:bCs/>
          <w:sz w:val="32"/>
          <w:szCs w:val="32"/>
        </w:rPr>
        <w:t>一、主要举措和工作成效</w:t>
      </w:r>
    </w:p>
    <w:p>
      <w:pPr>
        <w:numPr>
          <w:ilvl w:val="0"/>
          <w:numId w:val="1"/>
        </w:numPr>
        <w:ind w:firstLine="640" w:firstLineChars="200"/>
        <w:rPr>
          <w:sz w:val="32"/>
          <w:szCs w:val="32"/>
        </w:rPr>
      </w:pPr>
      <w:r>
        <w:rPr>
          <w:rFonts w:hint="eastAsia"/>
          <w:sz w:val="32"/>
          <w:szCs w:val="32"/>
        </w:rPr>
        <w:t>动态调整权责清单并依法公开。</w:t>
      </w:r>
      <w:r>
        <w:rPr>
          <w:sz w:val="32"/>
          <w:szCs w:val="32"/>
        </w:rPr>
        <w:t>根据省市场监管局和州政府的部署要求，结合法律法规的“废改立”，及时梳理，动态调整权责清单</w:t>
      </w:r>
      <w:r>
        <w:rPr>
          <w:rFonts w:hint="eastAsia"/>
          <w:sz w:val="32"/>
          <w:szCs w:val="32"/>
        </w:rPr>
        <w:t>。</w:t>
      </w:r>
      <w:r>
        <w:rPr>
          <w:sz w:val="32"/>
          <w:szCs w:val="32"/>
        </w:rPr>
        <w:t>一是根据州政府《关于全面实行行政许可事项清单管理的通知》要求，对照州级行政许可事项清单目录，梳理我局行政许可事项涉及食品药品、特种设备、注册登记共13项，于9月底</w:t>
      </w:r>
      <w:r>
        <w:rPr>
          <w:rFonts w:hint="eastAsia"/>
          <w:sz w:val="32"/>
          <w:szCs w:val="32"/>
        </w:rPr>
        <w:t>进行了</w:t>
      </w:r>
      <w:r>
        <w:rPr>
          <w:sz w:val="32"/>
          <w:szCs w:val="32"/>
        </w:rPr>
        <w:t>公布。根据县</w:t>
      </w:r>
      <w:r>
        <w:rPr>
          <w:rFonts w:hint="eastAsia"/>
          <w:sz w:val="32"/>
          <w:szCs w:val="32"/>
        </w:rPr>
        <w:t>政府</w:t>
      </w:r>
      <w:r>
        <w:rPr>
          <w:sz w:val="32"/>
          <w:szCs w:val="32"/>
        </w:rPr>
        <w:t>《关于补充完善权责清单内容要素的通知》及</w:t>
      </w:r>
      <w:r>
        <w:rPr>
          <w:rFonts w:hint="eastAsia"/>
          <w:sz w:val="32"/>
          <w:szCs w:val="32"/>
        </w:rPr>
        <w:t>《</w:t>
      </w:r>
      <w:r>
        <w:rPr>
          <w:sz w:val="32"/>
          <w:szCs w:val="32"/>
        </w:rPr>
        <w:t>关于调整和梳理一批行政权力事项的决定</w:t>
      </w:r>
      <w:r>
        <w:rPr>
          <w:rFonts w:hint="eastAsia"/>
          <w:sz w:val="32"/>
          <w:szCs w:val="32"/>
        </w:rPr>
        <w:t>》</w:t>
      </w:r>
      <w:r>
        <w:rPr>
          <w:sz w:val="32"/>
          <w:szCs w:val="32"/>
        </w:rPr>
        <w:t>，梳理事项1343项。</w:t>
      </w:r>
    </w:p>
    <w:p>
      <w:pPr>
        <w:numPr>
          <w:ilvl w:val="0"/>
          <w:numId w:val="1"/>
        </w:numPr>
        <w:ind w:firstLine="640" w:firstLineChars="200"/>
        <w:rPr>
          <w:sz w:val="32"/>
          <w:szCs w:val="32"/>
        </w:rPr>
      </w:pPr>
      <w:r>
        <w:rPr>
          <w:sz w:val="32"/>
          <w:szCs w:val="32"/>
        </w:rPr>
        <w:t>优化营商环境，制定公开办事指南。一是压缩企业开办时间</w:t>
      </w:r>
      <w:r>
        <w:rPr>
          <w:rFonts w:hint="eastAsia"/>
          <w:sz w:val="32"/>
          <w:szCs w:val="32"/>
        </w:rPr>
        <w:t>，</w:t>
      </w:r>
      <w:r>
        <w:rPr>
          <w:sz w:val="32"/>
          <w:szCs w:val="32"/>
        </w:rPr>
        <w:t>开办企业实现“一窗受理、一网通办、一窗发放，线上“一窗通”平台集申请受理、审批核准、结果反馈等环节为一体，整合设立登记、刻制印制、申领发票、就业参保登记、租房公积金缴存登记、预约银行开户，申请人只需登录一网（一窗通系统）即可全程网上办理企业开办，实现一网通办。坚持减环节、减材料、压时限、降成本、优服务的工作目标，通过优化工作流程、精简审批要件，进一步压缩企业开办时间，企业材料齐全符合法定形式，0.5个工作日（4个小时）完成企业设立登记。各行政许可事项可通过云南市场监管网上办事大厅申请在线办理，进驻县政务服务局的窗口都有摆放办事指南及材料提交规范供办事群众使用，并有工作人员提供指导帮助。三是减化企业注销登记。继续推进完善企业简易注销登记制度，进一步简化材料，对企业提交的申请材料实行形式审查，企业简易注销的公告期由原来的45天压缩为20天，在材料齐全、符合法定形式的前提下当场许可；全面推行“云南省企业注销服务专区平台”应用，实行各有关部门注销业务“信息共享、同步指引”，实现企业注销“一网”服务。四是推行“企业住所承诺制”，市场主体在申请设立或变更住所时，对企业住所实行书面承诺，填报市场主体住所（营业场所、经营场所、主要经营场所）使用证明事项告知承诺书，作为住所（营业场所、经营场所、主要经营场所）使用证明</w:t>
      </w:r>
      <w:r>
        <w:rPr>
          <w:rFonts w:hint="eastAsia"/>
          <w:sz w:val="32"/>
          <w:szCs w:val="32"/>
        </w:rPr>
        <w:t>。</w:t>
      </w:r>
    </w:p>
    <w:p>
      <w:pPr>
        <w:numPr>
          <w:ilvl w:val="0"/>
          <w:numId w:val="1"/>
        </w:numPr>
        <w:ind w:firstLine="640" w:firstLineChars="200"/>
        <w:rPr>
          <w:sz w:val="32"/>
          <w:szCs w:val="32"/>
        </w:rPr>
      </w:pPr>
      <w:r>
        <w:rPr>
          <w:sz w:val="32"/>
          <w:szCs w:val="32"/>
        </w:rPr>
        <w:t>完善决策机制，确保重大行政决策依法民主。一是完善重大行政决策制度。严格执行关于重大行政决策的程序规定，分管领导审批行政执法相关事项，主要领导审批行政执法决定，符合备案条件的及时向司法部门备案。制定并不断完善《洱源县市场监督管理局党组议事规则》《局长办公会议制度》，坚持“三重一大”事项集体讨论决定、主要领导“四个不直接分管”和研究“三重一大”事项末位表态等制度，重大行政决策坚持开展合法化审核。二是坚持案件集体讨论制度。制定</w:t>
      </w:r>
      <w:r>
        <w:rPr>
          <w:rFonts w:hint="eastAsia"/>
          <w:sz w:val="32"/>
          <w:szCs w:val="32"/>
        </w:rPr>
        <w:t>了</w:t>
      </w:r>
      <w:r>
        <w:rPr>
          <w:sz w:val="32"/>
          <w:szCs w:val="32"/>
        </w:rPr>
        <w:t>《洱源县市场监督管理局行政执法公示制度（试行）》等八项制度，对重大复杂行政处罚案件，严格执行集体讨论决定，相关制度对行政执法公示、行政执法全过程记录、罚没物品处置等作出明确规定，以制度规范行政执法行为。三是坚持落实法律顾问制度。长</w:t>
      </w:r>
      <w:r>
        <w:rPr>
          <w:rFonts w:hint="eastAsia"/>
          <w:sz w:val="32"/>
          <w:szCs w:val="32"/>
        </w:rPr>
        <w:t>年</w:t>
      </w:r>
      <w:r>
        <w:rPr>
          <w:sz w:val="32"/>
          <w:szCs w:val="32"/>
        </w:rPr>
        <w:t>坚持聘请法律顾问和公职律师，做好诉讼案件办理、行政复议答复、信访回复咨询和相关文件、合同审核，充分发挥法律顾问和公职律师作用。</w:t>
      </w:r>
    </w:p>
    <w:p>
      <w:pPr>
        <w:numPr>
          <w:ilvl w:val="0"/>
          <w:numId w:val="1"/>
        </w:numPr>
        <w:ind w:firstLine="640" w:firstLineChars="200"/>
        <w:rPr>
          <w:sz w:val="32"/>
          <w:szCs w:val="32"/>
        </w:rPr>
      </w:pPr>
      <w:r>
        <w:rPr>
          <w:sz w:val="32"/>
          <w:szCs w:val="32"/>
        </w:rPr>
        <w:t>严格规范执法行为，加强行政执法工作</w:t>
      </w:r>
      <w:r>
        <w:rPr>
          <w:rFonts w:hint="eastAsia"/>
          <w:sz w:val="32"/>
          <w:szCs w:val="32"/>
        </w:rPr>
        <w:t>。全面落实行政执法“三项制度”，</w:t>
      </w:r>
      <w:r>
        <w:rPr>
          <w:sz w:val="32"/>
          <w:szCs w:val="32"/>
        </w:rPr>
        <w:t>加强对行政执法行为的监督，促进公正、文明、规范执法。2022年收到检察院检察建议书5份，司法局行政复议答复通知书2份，均在时限内进行了答复。按照州市场监管局《关于印发2022年行政执法案卷评查工作方案的通知》《关于开展法治建设暨行政执法和案卷评查培训的通知》及县司法局《关于开展2022年行政执法案卷评查工作的通知》要求</w:t>
      </w:r>
      <w:r>
        <w:rPr>
          <w:rFonts w:hint="eastAsia"/>
          <w:sz w:val="32"/>
          <w:szCs w:val="32"/>
        </w:rPr>
        <w:t>积极开展案卷评查工作。此外</w:t>
      </w:r>
      <w:r>
        <w:rPr>
          <w:sz w:val="32"/>
          <w:szCs w:val="32"/>
        </w:rPr>
        <w:t>做好云南省行政执法证件管理系统和云南省行政执法综合管理监督信息系统的管理维护，及时做好行政执法人员资格管理</w:t>
      </w:r>
      <w:r>
        <w:rPr>
          <w:rFonts w:hint="eastAsia"/>
          <w:sz w:val="32"/>
          <w:szCs w:val="32"/>
        </w:rPr>
        <w:t>，</w:t>
      </w:r>
      <w:r>
        <w:rPr>
          <w:sz w:val="32"/>
          <w:szCs w:val="32"/>
        </w:rPr>
        <w:t>54人</w:t>
      </w:r>
      <w:r>
        <w:rPr>
          <w:rFonts w:hint="eastAsia"/>
          <w:sz w:val="32"/>
          <w:szCs w:val="32"/>
        </w:rPr>
        <w:t>取得《行政</w:t>
      </w:r>
      <w:r>
        <w:rPr>
          <w:sz w:val="32"/>
          <w:szCs w:val="32"/>
        </w:rPr>
        <w:t>执法证</w:t>
      </w:r>
      <w:r>
        <w:rPr>
          <w:rFonts w:hint="eastAsia"/>
          <w:sz w:val="32"/>
          <w:szCs w:val="32"/>
        </w:rPr>
        <w:t>》</w:t>
      </w:r>
      <w:r>
        <w:rPr>
          <w:sz w:val="32"/>
          <w:szCs w:val="32"/>
        </w:rPr>
        <w:t>，1</w:t>
      </w:r>
      <w:r>
        <w:rPr>
          <w:rFonts w:hint="eastAsia"/>
          <w:sz w:val="32"/>
          <w:szCs w:val="32"/>
        </w:rPr>
        <w:t>9</w:t>
      </w:r>
      <w:r>
        <w:rPr>
          <w:sz w:val="32"/>
          <w:szCs w:val="32"/>
        </w:rPr>
        <w:t>人正在申请换证。</w:t>
      </w:r>
    </w:p>
    <w:p>
      <w:pPr>
        <w:numPr>
          <w:ilvl w:val="0"/>
          <w:numId w:val="1"/>
        </w:numPr>
        <w:ind w:firstLine="640" w:firstLineChars="200"/>
        <w:rPr>
          <w:sz w:val="32"/>
          <w:szCs w:val="32"/>
        </w:rPr>
      </w:pPr>
      <w:r>
        <w:rPr>
          <w:sz w:val="32"/>
          <w:szCs w:val="32"/>
        </w:rPr>
        <w:t>加强日常监管和行政执法力度。认真落实行政执法职能，加强食品药品、特种设备、重要工业产品质量安全、价格监管和知识产权保护。认真贯彻落实国家和省州</w:t>
      </w:r>
      <w:r>
        <w:rPr>
          <w:rFonts w:hint="eastAsia"/>
          <w:sz w:val="32"/>
          <w:szCs w:val="32"/>
        </w:rPr>
        <w:t>县</w:t>
      </w:r>
      <w:r>
        <w:rPr>
          <w:sz w:val="32"/>
          <w:szCs w:val="32"/>
        </w:rPr>
        <w:t>工作部署，紧盯“四个安全”底线，以落实民生领域“铁拳”行动为重点，统筹推进执法办案，工作取得初步成效</w:t>
      </w:r>
      <w:r>
        <w:rPr>
          <w:rFonts w:hint="eastAsia"/>
          <w:sz w:val="32"/>
          <w:szCs w:val="32"/>
        </w:rPr>
        <w:t>，年内</w:t>
      </w:r>
      <w:r>
        <w:rPr>
          <w:sz w:val="32"/>
          <w:szCs w:val="32"/>
        </w:rPr>
        <w:t>查处行政处罚案件</w:t>
      </w:r>
      <w:r>
        <w:rPr>
          <w:rFonts w:hint="eastAsia"/>
          <w:sz w:val="32"/>
          <w:szCs w:val="32"/>
        </w:rPr>
        <w:t>307</w:t>
      </w:r>
      <w:r>
        <w:rPr>
          <w:sz w:val="32"/>
          <w:szCs w:val="32"/>
        </w:rPr>
        <w:t>件</w:t>
      </w:r>
      <w:r>
        <w:rPr>
          <w:rFonts w:hint="eastAsia"/>
          <w:sz w:val="32"/>
          <w:szCs w:val="32"/>
        </w:rPr>
        <w:t>。</w:t>
      </w:r>
    </w:p>
    <w:p>
      <w:pPr>
        <w:numPr>
          <w:ilvl w:val="0"/>
          <w:numId w:val="1"/>
        </w:numPr>
        <w:ind w:firstLine="640" w:firstLineChars="200"/>
        <w:rPr>
          <w:sz w:val="32"/>
          <w:szCs w:val="32"/>
        </w:rPr>
      </w:pPr>
      <w:r>
        <w:rPr>
          <w:rFonts w:hint="eastAsia"/>
          <w:sz w:val="32"/>
          <w:szCs w:val="32"/>
        </w:rPr>
        <w:t>积极推进普法宣传工作。</w:t>
      </w:r>
      <w:r>
        <w:rPr>
          <w:sz w:val="32"/>
          <w:szCs w:val="32"/>
        </w:rPr>
        <w:t>一是大力宣传《中华人民共和国市场主体登记管理条例实施细则》《中华人民共和国市场主体登记管理条例》《中华人民共和国行政处罚法》、《中华人民共和国食品安全法》《中华人民共和国产品质量法》《反有组织犯罪法》等一系列与市场监管密切相关的法律法规，深化商事制度改革，落实包容审慎监管，为市场主体提供更加公正、透明、规范、便捷的制度环境，着力营造法治化的营商环境。二是依托消费维权、质量安全、食品药品安全等各类法治宣传时间节点，通过动员干部职工参与答题活动、播放宣传标语及宣传视频、观看节目、面向监管对象宣传知识等方式积极开展“3.15”国际消费者权益日、“4.15”全民国家安全教育日、“12.4”宪法宣传周等宣传活动，营造浓厚氛围，持续开展法律法规宣传。三是持续推进普法工作融入日常，通过开展“三进市场主体”活动等多种形式面向市场主体开展法治宣传，培养市场主体守法经营意识。做到日常监管工作、业务指导文件、执法办案等全方位、多角度、分层次推进全县市场监管系统加强相关法律、法规、规章和政策的学习。四是加大“以案释法”力度，结合市场监管各项业务，积极面向干部职工及监管对象发布曝光的违法行为典型案例，在提升干部职工执法水平的同时引导市场主体以案为鉴守法经营。</w:t>
      </w:r>
    </w:p>
    <w:p>
      <w:pPr>
        <w:adjustRightInd w:val="0"/>
        <w:ind w:firstLine="643" w:firstLineChars="200"/>
        <w:rPr>
          <w:b/>
          <w:bCs/>
          <w:sz w:val="32"/>
          <w:szCs w:val="32"/>
        </w:rPr>
      </w:pPr>
      <w:r>
        <w:rPr>
          <w:rFonts w:hint="eastAsia"/>
          <w:b/>
          <w:bCs/>
          <w:sz w:val="32"/>
          <w:szCs w:val="32"/>
        </w:rPr>
        <w:t>二、工作中存在的不足和原因</w:t>
      </w:r>
    </w:p>
    <w:p>
      <w:pPr>
        <w:ind w:firstLine="640" w:firstLineChars="200"/>
        <w:rPr>
          <w:sz w:val="32"/>
          <w:szCs w:val="32"/>
        </w:rPr>
      </w:pPr>
      <w:r>
        <w:rPr>
          <w:sz w:val="32"/>
          <w:szCs w:val="32"/>
        </w:rPr>
        <w:t>（一）执法能力素质与形势要求</w:t>
      </w:r>
      <w:r>
        <w:rPr>
          <w:rFonts w:hint="eastAsia"/>
          <w:sz w:val="32"/>
          <w:szCs w:val="32"/>
        </w:rPr>
        <w:t>有差距</w:t>
      </w:r>
    </w:p>
    <w:p>
      <w:pPr>
        <w:ind w:firstLine="640" w:firstLineChars="200"/>
        <w:rPr>
          <w:sz w:val="32"/>
          <w:szCs w:val="32"/>
        </w:rPr>
      </w:pPr>
      <w:r>
        <w:rPr>
          <w:rFonts w:hint="eastAsia"/>
          <w:sz w:val="32"/>
          <w:szCs w:val="32"/>
        </w:rPr>
        <w:t>市场监管</w:t>
      </w:r>
      <w:r>
        <w:rPr>
          <w:sz w:val="32"/>
          <w:szCs w:val="32"/>
        </w:rPr>
        <w:t>执法领域宽、覆盖面广，需要掌握的法律</w:t>
      </w:r>
      <w:r>
        <w:rPr>
          <w:rFonts w:hint="eastAsia"/>
          <w:sz w:val="32"/>
          <w:szCs w:val="32"/>
        </w:rPr>
        <w:t>法规</w:t>
      </w:r>
      <w:r>
        <w:rPr>
          <w:sz w:val="32"/>
          <w:szCs w:val="32"/>
        </w:rPr>
        <w:t>多，缺乏食品药品、医疗器械、特种设备、标准计量等领域专业知识和专业技术人员。执法人员无相应专业的学历背景，业务知识体系单一，</w:t>
      </w:r>
      <w:r>
        <w:rPr>
          <w:rFonts w:hint="eastAsia"/>
          <w:sz w:val="32"/>
          <w:szCs w:val="32"/>
        </w:rPr>
        <w:t>导致行政执法领域不宽不广，执法办案水平有待提升</w:t>
      </w:r>
      <w:r>
        <w:rPr>
          <w:sz w:val="32"/>
          <w:szCs w:val="32"/>
        </w:rPr>
        <w:t>。</w:t>
      </w:r>
    </w:p>
    <w:p>
      <w:pPr>
        <w:ind w:firstLine="640" w:firstLineChars="200"/>
        <w:rPr>
          <w:sz w:val="32"/>
          <w:szCs w:val="32"/>
        </w:rPr>
      </w:pPr>
      <w:r>
        <w:rPr>
          <w:sz w:val="32"/>
          <w:szCs w:val="32"/>
        </w:rPr>
        <w:t>（二）人员</w:t>
      </w:r>
      <w:r>
        <w:rPr>
          <w:rFonts w:hint="eastAsia"/>
          <w:sz w:val="32"/>
          <w:szCs w:val="32"/>
        </w:rPr>
        <w:t>配</w:t>
      </w:r>
      <w:r>
        <w:rPr>
          <w:sz w:val="32"/>
          <w:szCs w:val="32"/>
        </w:rPr>
        <w:t>制与任务不匹配、执法队伍青黄不接、经费设备难以保障</w:t>
      </w:r>
    </w:p>
    <w:p>
      <w:pPr>
        <w:ind w:firstLine="640" w:firstLineChars="200"/>
        <w:rPr>
          <w:sz w:val="32"/>
          <w:szCs w:val="32"/>
        </w:rPr>
      </w:pPr>
      <w:r>
        <w:rPr>
          <w:sz w:val="32"/>
          <w:szCs w:val="32"/>
        </w:rPr>
        <w:t>市场监管业务点多面广，人员</w:t>
      </w:r>
      <w:r>
        <w:rPr>
          <w:rFonts w:hint="eastAsia"/>
          <w:sz w:val="32"/>
          <w:szCs w:val="32"/>
        </w:rPr>
        <w:t>配</w:t>
      </w:r>
      <w:r>
        <w:rPr>
          <w:sz w:val="32"/>
          <w:szCs w:val="32"/>
        </w:rPr>
        <w:t>制与繁重</w:t>
      </w:r>
      <w:r>
        <w:rPr>
          <w:rFonts w:hint="eastAsia"/>
          <w:sz w:val="32"/>
          <w:szCs w:val="32"/>
        </w:rPr>
        <w:t>的工作</w:t>
      </w:r>
      <w:r>
        <w:rPr>
          <w:sz w:val="32"/>
          <w:szCs w:val="32"/>
        </w:rPr>
        <w:t>任务不匹配；</w:t>
      </w:r>
      <w:r>
        <w:rPr>
          <w:rFonts w:hint="eastAsia"/>
          <w:sz w:val="32"/>
          <w:szCs w:val="32"/>
        </w:rPr>
        <w:t>年轻干部外调、</w:t>
      </w:r>
      <w:r>
        <w:rPr>
          <w:sz w:val="32"/>
          <w:szCs w:val="32"/>
        </w:rPr>
        <w:t>多年不能招考</w:t>
      </w:r>
      <w:r>
        <w:rPr>
          <w:rFonts w:hint="eastAsia"/>
          <w:sz w:val="32"/>
          <w:szCs w:val="32"/>
        </w:rPr>
        <w:t>录用</w:t>
      </w:r>
      <w:r>
        <w:rPr>
          <w:sz w:val="32"/>
          <w:szCs w:val="32"/>
        </w:rPr>
        <w:t>新人</w:t>
      </w:r>
      <w:r>
        <w:rPr>
          <w:rFonts w:hint="eastAsia"/>
          <w:sz w:val="32"/>
          <w:szCs w:val="32"/>
        </w:rPr>
        <w:t>、近</w:t>
      </w:r>
      <w:r>
        <w:rPr>
          <w:sz w:val="32"/>
          <w:szCs w:val="32"/>
        </w:rPr>
        <w:t>年退休人</w:t>
      </w:r>
      <w:r>
        <w:rPr>
          <w:rFonts w:hint="eastAsia"/>
          <w:sz w:val="32"/>
          <w:szCs w:val="32"/>
        </w:rPr>
        <w:t>员集中等等</w:t>
      </w:r>
      <w:r>
        <w:rPr>
          <w:sz w:val="32"/>
          <w:szCs w:val="32"/>
        </w:rPr>
        <w:t>；</w:t>
      </w:r>
      <w:r>
        <w:rPr>
          <w:rFonts w:hint="eastAsia"/>
          <w:sz w:val="32"/>
          <w:szCs w:val="32"/>
        </w:rPr>
        <w:t>加之执法经费保障不足</w:t>
      </w:r>
      <w:r>
        <w:rPr>
          <w:sz w:val="32"/>
          <w:szCs w:val="32"/>
        </w:rPr>
        <w:t>，现场执法</w:t>
      </w:r>
      <w:r>
        <w:rPr>
          <w:rFonts w:hint="eastAsia"/>
          <w:sz w:val="32"/>
          <w:szCs w:val="32"/>
        </w:rPr>
        <w:t>专用</w:t>
      </w:r>
      <w:r>
        <w:rPr>
          <w:sz w:val="32"/>
          <w:szCs w:val="32"/>
        </w:rPr>
        <w:t>设备</w:t>
      </w:r>
      <w:r>
        <w:rPr>
          <w:rFonts w:hint="eastAsia"/>
          <w:sz w:val="32"/>
          <w:szCs w:val="32"/>
        </w:rPr>
        <w:t>配备</w:t>
      </w:r>
      <w:r>
        <w:rPr>
          <w:sz w:val="32"/>
          <w:szCs w:val="32"/>
        </w:rPr>
        <w:t>缺失，执法车辆不足，</w:t>
      </w:r>
      <w:r>
        <w:rPr>
          <w:rFonts w:hint="eastAsia"/>
          <w:sz w:val="32"/>
          <w:szCs w:val="32"/>
        </w:rPr>
        <w:t>一定程度上严重</w:t>
      </w:r>
      <w:r>
        <w:rPr>
          <w:sz w:val="32"/>
          <w:szCs w:val="32"/>
        </w:rPr>
        <w:t>影响</w:t>
      </w:r>
      <w:r>
        <w:rPr>
          <w:rFonts w:hint="eastAsia"/>
          <w:sz w:val="32"/>
          <w:szCs w:val="32"/>
        </w:rPr>
        <w:t>行政</w:t>
      </w:r>
      <w:r>
        <w:rPr>
          <w:sz w:val="32"/>
          <w:szCs w:val="32"/>
        </w:rPr>
        <w:t>执法工作。</w:t>
      </w:r>
    </w:p>
    <w:p>
      <w:pPr>
        <w:ind w:firstLine="643" w:firstLineChars="200"/>
        <w:rPr>
          <w:b/>
          <w:bCs/>
          <w:sz w:val="32"/>
          <w:szCs w:val="32"/>
        </w:rPr>
      </w:pPr>
      <w:r>
        <w:rPr>
          <w:rFonts w:hint="eastAsia"/>
          <w:b/>
          <w:bCs/>
          <w:sz w:val="32"/>
          <w:szCs w:val="32"/>
        </w:rPr>
        <w:t>三、党政主要负责人履行推进法治建设第一责任人职责，加快法治政府建设的有关情况</w:t>
      </w:r>
    </w:p>
    <w:p>
      <w:pPr>
        <w:ind w:firstLine="640" w:firstLineChars="200"/>
        <w:rPr>
          <w:sz w:val="32"/>
          <w:szCs w:val="32"/>
        </w:rPr>
      </w:pPr>
      <w:r>
        <w:rPr>
          <w:sz w:val="32"/>
          <w:szCs w:val="32"/>
        </w:rPr>
        <w:t>一是将习近平法治思想列入县局党组理论中心组2022年重点学习内容，</w:t>
      </w:r>
      <w:r>
        <w:rPr>
          <w:rFonts w:hint="eastAsia"/>
          <w:sz w:val="32"/>
          <w:szCs w:val="32"/>
        </w:rPr>
        <w:t>开展</w:t>
      </w:r>
      <w:r>
        <w:rPr>
          <w:sz w:val="32"/>
          <w:szCs w:val="32"/>
        </w:rPr>
        <w:t>专题学习研讨交流，组织干部职工加强对宪法法律、党内法规的学习掌握，将习近平法治思想作为市场监管法治建设顶层设计的根本遵循，作为市场监管执法、法治宣传教育等工作的总指引，引导干部职工树立“法治工作全局化、全局工作法治化”思维，统筹协调法治建设与业务工作同部署同落实。</w:t>
      </w:r>
      <w:r>
        <w:rPr>
          <w:rFonts w:hint="eastAsia"/>
          <w:sz w:val="32"/>
          <w:szCs w:val="32"/>
        </w:rPr>
        <w:t>二是</w:t>
      </w:r>
      <w:r>
        <w:rPr>
          <w:sz w:val="32"/>
          <w:szCs w:val="32"/>
        </w:rPr>
        <w:t>在局党组会、局长办公会议上提醒告诫各分管领导督促指导分管的股室、片区分局对涉及的行政许可、行政处罚、行政强制、行政检查事项依法履职，必须坚持法定职责必须为、法无授权不可为，坚持严格规范公正文明执法。</w:t>
      </w:r>
      <w:r>
        <w:rPr>
          <w:rFonts w:hint="eastAsia"/>
          <w:sz w:val="32"/>
          <w:szCs w:val="32"/>
        </w:rPr>
        <w:t>三</w:t>
      </w:r>
      <w:r>
        <w:rPr>
          <w:sz w:val="32"/>
          <w:szCs w:val="32"/>
        </w:rPr>
        <w:t>是推进学法培训常态化，在系统内常态化开展法律法规学习，通过自学、视频学习、法律讲堂等多种形式，定期不定期组织系统内干部开展法律知识学习活动，增强干部职工法律素质和执法能力。</w:t>
      </w:r>
      <w:r>
        <w:rPr>
          <w:rFonts w:hint="eastAsia"/>
          <w:sz w:val="32"/>
          <w:szCs w:val="32"/>
        </w:rPr>
        <w:t>四</w:t>
      </w:r>
      <w:r>
        <w:rPr>
          <w:sz w:val="32"/>
          <w:szCs w:val="32"/>
        </w:rPr>
        <w:t>是积极配合做好市场监管总局《市场监督管理行政执法责任制规定》实地专项执法检查工作，严格落实《市场监督管理行政执法责任制规定》。</w:t>
      </w:r>
      <w:r>
        <w:rPr>
          <w:rFonts w:hint="eastAsia"/>
          <w:sz w:val="32"/>
          <w:szCs w:val="32"/>
        </w:rPr>
        <w:t>五</w:t>
      </w:r>
      <w:r>
        <w:rPr>
          <w:sz w:val="32"/>
          <w:szCs w:val="32"/>
        </w:rPr>
        <w:t>是积极撰写述法报告完成述法工作，</w:t>
      </w:r>
      <w:r>
        <w:rPr>
          <w:rFonts w:hint="eastAsia"/>
          <w:sz w:val="32"/>
          <w:szCs w:val="32"/>
        </w:rPr>
        <w:t>组织</w:t>
      </w:r>
      <w:r>
        <w:rPr>
          <w:sz w:val="32"/>
          <w:szCs w:val="32"/>
        </w:rPr>
        <w:t>召开</w:t>
      </w:r>
      <w:r>
        <w:rPr>
          <w:rFonts w:hint="eastAsia"/>
          <w:sz w:val="32"/>
          <w:szCs w:val="32"/>
        </w:rPr>
        <w:t>局务会和全局</w:t>
      </w:r>
      <w:r>
        <w:rPr>
          <w:sz w:val="32"/>
          <w:szCs w:val="32"/>
        </w:rPr>
        <w:t>述法工作会，听取法治建设工作情况，研</w:t>
      </w:r>
      <w:r>
        <w:rPr>
          <w:rFonts w:hint="eastAsia"/>
          <w:sz w:val="32"/>
          <w:szCs w:val="32"/>
        </w:rPr>
        <w:t>讨</w:t>
      </w:r>
      <w:r>
        <w:rPr>
          <w:sz w:val="32"/>
          <w:szCs w:val="32"/>
        </w:rPr>
        <w:t>存在的问题</w:t>
      </w:r>
      <w:r>
        <w:rPr>
          <w:rFonts w:hint="eastAsia"/>
          <w:sz w:val="32"/>
          <w:szCs w:val="32"/>
        </w:rPr>
        <w:t>，总结安排年度</w:t>
      </w:r>
      <w:r>
        <w:rPr>
          <w:sz w:val="32"/>
          <w:szCs w:val="32"/>
        </w:rPr>
        <w:t>述法</w:t>
      </w:r>
      <w:r>
        <w:rPr>
          <w:rFonts w:hint="eastAsia"/>
          <w:sz w:val="32"/>
          <w:szCs w:val="32"/>
        </w:rPr>
        <w:t>工作</w:t>
      </w:r>
      <w:r>
        <w:rPr>
          <w:sz w:val="32"/>
          <w:szCs w:val="32"/>
        </w:rPr>
        <w:t>。</w:t>
      </w:r>
    </w:p>
    <w:p>
      <w:pPr>
        <w:ind w:firstLine="643" w:firstLineChars="200"/>
        <w:rPr>
          <w:b/>
          <w:bCs/>
          <w:sz w:val="32"/>
          <w:szCs w:val="32"/>
        </w:rPr>
      </w:pPr>
      <w:r>
        <w:rPr>
          <w:rFonts w:hint="eastAsia"/>
          <w:b/>
          <w:bCs/>
          <w:sz w:val="32"/>
          <w:szCs w:val="32"/>
        </w:rPr>
        <w:t>四、2023年推进法治政府建设的主要安排</w:t>
      </w:r>
    </w:p>
    <w:p>
      <w:pPr>
        <w:ind w:firstLine="640" w:firstLineChars="200"/>
        <w:rPr>
          <w:sz w:val="32"/>
          <w:szCs w:val="32"/>
        </w:rPr>
      </w:pPr>
      <w:r>
        <w:rPr>
          <w:sz w:val="32"/>
          <w:szCs w:val="32"/>
        </w:rPr>
        <w:t>（一）进一步落实行政执法责任制规定。</w:t>
      </w:r>
      <w:r>
        <w:rPr>
          <w:rFonts w:hint="eastAsia"/>
          <w:sz w:val="32"/>
          <w:szCs w:val="32"/>
        </w:rPr>
        <w:t>紧紧</w:t>
      </w:r>
      <w:r>
        <w:rPr>
          <w:sz w:val="32"/>
          <w:szCs w:val="32"/>
        </w:rPr>
        <w:t>围绕市场监管总局《法治市场监管建设实施纲要(2021-2025年)》提出的指导思想、主要原则、总体目标及相关要求，进一步加强</w:t>
      </w:r>
      <w:r>
        <w:rPr>
          <w:rFonts w:hint="eastAsia"/>
          <w:sz w:val="32"/>
          <w:szCs w:val="32"/>
        </w:rPr>
        <w:t>对</w:t>
      </w:r>
      <w:r>
        <w:rPr>
          <w:sz w:val="32"/>
          <w:szCs w:val="32"/>
        </w:rPr>
        <w:t>《市场监督管理行政执法责任制规定》的学习宣传和</w:t>
      </w:r>
      <w:r>
        <w:rPr>
          <w:rFonts w:hint="eastAsia"/>
          <w:sz w:val="32"/>
          <w:szCs w:val="32"/>
        </w:rPr>
        <w:t>贯彻</w:t>
      </w:r>
      <w:r>
        <w:rPr>
          <w:sz w:val="32"/>
          <w:szCs w:val="32"/>
        </w:rPr>
        <w:t>落实。</w:t>
      </w:r>
    </w:p>
    <w:p>
      <w:pPr>
        <w:ind w:firstLine="640" w:firstLineChars="200"/>
        <w:rPr>
          <w:sz w:val="32"/>
          <w:szCs w:val="32"/>
        </w:rPr>
      </w:pPr>
      <w:r>
        <w:rPr>
          <w:sz w:val="32"/>
          <w:szCs w:val="32"/>
        </w:rPr>
        <w:t>（</w:t>
      </w:r>
      <w:r>
        <w:rPr>
          <w:rFonts w:hint="eastAsia"/>
          <w:sz w:val="32"/>
          <w:szCs w:val="32"/>
        </w:rPr>
        <w:t>二</w:t>
      </w:r>
      <w:r>
        <w:rPr>
          <w:sz w:val="32"/>
          <w:szCs w:val="32"/>
        </w:rPr>
        <w:t>）</w:t>
      </w:r>
      <w:r>
        <w:rPr>
          <w:rFonts w:hint="eastAsia"/>
          <w:sz w:val="32"/>
          <w:szCs w:val="32"/>
        </w:rPr>
        <w:t>持</w:t>
      </w:r>
      <w:r>
        <w:rPr>
          <w:sz w:val="32"/>
          <w:szCs w:val="32"/>
        </w:rPr>
        <w:t>续加强重点领域监管执法</w:t>
      </w:r>
      <w:r>
        <w:rPr>
          <w:rFonts w:hint="eastAsia"/>
          <w:sz w:val="32"/>
          <w:szCs w:val="32"/>
        </w:rPr>
        <w:t>。</w:t>
      </w:r>
      <w:r>
        <w:rPr>
          <w:sz w:val="32"/>
          <w:szCs w:val="32"/>
        </w:rPr>
        <w:t>加大食品药品安全、特种设备安全、工业产品质量安全等关系群众切身利益的重点领域监管执法力度。</w:t>
      </w:r>
      <w:r>
        <w:rPr>
          <w:rFonts w:hint="eastAsia"/>
          <w:sz w:val="32"/>
          <w:szCs w:val="32"/>
        </w:rPr>
        <w:t>认真</w:t>
      </w:r>
      <w:r>
        <w:rPr>
          <w:sz w:val="32"/>
          <w:szCs w:val="32"/>
        </w:rPr>
        <w:t>落实“四个最严”要求，督促生产经营者落实安全主体责任，建立健全追溯体系，完善抽检监测信息通报机制，加大安全</w:t>
      </w:r>
      <w:r>
        <w:rPr>
          <w:rFonts w:hint="eastAsia"/>
          <w:sz w:val="32"/>
          <w:szCs w:val="32"/>
        </w:rPr>
        <w:t>生产</w:t>
      </w:r>
      <w:r>
        <w:rPr>
          <w:sz w:val="32"/>
          <w:szCs w:val="32"/>
        </w:rPr>
        <w:t>监管执法力度。加强重点行业特种设备安全监察，推进特种设备安全风险分级管控与隐患排查治理双重预防体系建设，深入开展特种设备安全专项执法行动。广泛推行产品系族管理，建立健全产品质量安全监测预警机制，强化源头治理，加强风险信息采集研判，及时处置产品质量安全风险，重拳打击假冒伪劣等产品质量违法行为。充分发挥行政执法“风向标”作用，</w:t>
      </w:r>
      <w:r>
        <w:rPr>
          <w:rFonts w:hint="eastAsia"/>
          <w:sz w:val="32"/>
          <w:szCs w:val="32"/>
        </w:rPr>
        <w:t>及时查处</w:t>
      </w:r>
      <w:r>
        <w:rPr>
          <w:sz w:val="32"/>
          <w:szCs w:val="32"/>
        </w:rPr>
        <w:t>群众反映强烈、社会舆论关注和市场监管风险压力大的突出问题，深入开展专项整治，对普遍存在、经常违反的小问题常抓不懈，宽严相济，切实提高市场主体违法的信用成本。</w:t>
      </w:r>
    </w:p>
    <w:p>
      <w:pPr>
        <w:ind w:firstLine="640" w:firstLineChars="200"/>
        <w:rPr>
          <w:sz w:val="32"/>
          <w:szCs w:val="32"/>
        </w:rPr>
      </w:pPr>
      <w:r>
        <w:rPr>
          <w:sz w:val="32"/>
          <w:szCs w:val="32"/>
        </w:rPr>
        <w:t>（</w:t>
      </w:r>
      <w:r>
        <w:rPr>
          <w:rFonts w:hint="eastAsia"/>
          <w:sz w:val="32"/>
          <w:szCs w:val="32"/>
        </w:rPr>
        <w:t>三</w:t>
      </w:r>
      <w:r>
        <w:rPr>
          <w:sz w:val="32"/>
          <w:szCs w:val="32"/>
        </w:rPr>
        <w:t>）立足智慧监管推进监管方式创新</w:t>
      </w:r>
      <w:r>
        <w:rPr>
          <w:rFonts w:hint="eastAsia"/>
          <w:sz w:val="32"/>
          <w:szCs w:val="32"/>
        </w:rPr>
        <w:t>。</w:t>
      </w:r>
      <w:r>
        <w:rPr>
          <w:sz w:val="32"/>
          <w:szCs w:val="32"/>
        </w:rPr>
        <w:t>通过智慧化监管平台的投入使用，充分运用互联网、大数据、人工智能等信息技术推进监管方式创新。推进线上线下一体化监管，逐步探索推行以远程监管、移动监管、预警防控为特征的非现场监管，解决人少事多的难题。注重运用法治思维和法治方式，确保监管方式改革创新在法治轨道上推进。</w:t>
      </w:r>
    </w:p>
    <w:p>
      <w:pPr>
        <w:ind w:firstLine="640" w:firstLineChars="200"/>
        <w:rPr>
          <w:sz w:val="32"/>
          <w:szCs w:val="32"/>
        </w:rPr>
      </w:pPr>
      <w:r>
        <w:rPr>
          <w:sz w:val="32"/>
          <w:szCs w:val="32"/>
        </w:rPr>
        <w:t>（</w:t>
      </w:r>
      <w:r>
        <w:rPr>
          <w:rFonts w:hint="eastAsia"/>
          <w:sz w:val="32"/>
          <w:szCs w:val="32"/>
        </w:rPr>
        <w:t>四</w:t>
      </w:r>
      <w:r>
        <w:rPr>
          <w:sz w:val="32"/>
          <w:szCs w:val="32"/>
        </w:rPr>
        <w:t>）全面推动落实包容审慎执法机制</w:t>
      </w:r>
      <w:r>
        <w:rPr>
          <w:rFonts w:hint="eastAsia"/>
          <w:sz w:val="32"/>
          <w:szCs w:val="32"/>
        </w:rPr>
        <w:t>。</w:t>
      </w:r>
      <w:r>
        <w:rPr>
          <w:sz w:val="32"/>
          <w:szCs w:val="32"/>
        </w:rPr>
        <w:t>严格贯彻落实《云南省市场监督管理局关于做好包容审慎监管有关工作的指导意见》及不予行政处罚清单（第一版）和行政处罚自由裁量权适用规则，依法履行法定职责。加强行政指导、行政奖励、行政和解等非强制行政手段的运用，</w:t>
      </w:r>
      <w:r>
        <w:rPr>
          <w:rFonts w:hint="eastAsia"/>
          <w:sz w:val="32"/>
          <w:szCs w:val="32"/>
        </w:rPr>
        <w:t>积极优化营商环境，</w:t>
      </w:r>
      <w:r>
        <w:rPr>
          <w:sz w:val="32"/>
          <w:szCs w:val="32"/>
        </w:rPr>
        <w:t>广泛运用说服教育、劝导示范、警示告诫、指导约谈等方式，努力做到宽严相济、法理相融，让执法既有力度又有温度。</w:t>
      </w:r>
    </w:p>
    <w:p>
      <w:pPr>
        <w:rPr>
          <w:sz w:val="32"/>
          <w:szCs w:val="32"/>
        </w:rPr>
      </w:pPr>
    </w:p>
    <w:p/>
    <w:p/>
    <w:p/>
    <w:p/>
    <w:p/>
    <w:p/>
    <w:p/>
    <w:p>
      <w:pPr>
        <w:ind w:firstLine="640" w:firstLineChars="200"/>
        <w:jc w:val="right"/>
        <w:rPr>
          <w:sz w:val="32"/>
          <w:szCs w:val="32"/>
        </w:rPr>
      </w:pPr>
      <w:r>
        <w:rPr>
          <w:rFonts w:hint="eastAsia"/>
          <w:sz w:val="32"/>
          <w:szCs w:val="32"/>
        </w:rPr>
        <w:t>洱源县市场监督管理局</w:t>
      </w:r>
    </w:p>
    <w:p>
      <w:pPr>
        <w:ind w:firstLine="640" w:firstLineChars="200"/>
        <w:jc w:val="right"/>
        <w:rPr>
          <w:sz w:val="32"/>
          <w:szCs w:val="32"/>
        </w:rPr>
      </w:pPr>
      <w:r>
        <w:rPr>
          <w:rFonts w:hint="eastAsia"/>
          <w:sz w:val="32"/>
          <w:szCs w:val="32"/>
        </w:rPr>
        <w:t>2023年1月</w:t>
      </w:r>
      <w:r>
        <w:rPr>
          <w:rFonts w:hint="eastAsia"/>
          <w:sz w:val="32"/>
          <w:szCs w:val="32"/>
          <w:lang w:val="en-US" w:eastAsia="zh-CN"/>
        </w:rPr>
        <w:t>30</w:t>
      </w:r>
      <w:r>
        <w:rPr>
          <w:rFonts w:hint="eastAsia"/>
          <w:sz w:val="32"/>
          <w:szCs w:val="32"/>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0CFF"/>
    <w:multiLevelType w:val="singleLevel"/>
    <w:tmpl w:val="19410C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712AE"/>
    <w:rsid w:val="00080A2B"/>
    <w:rsid w:val="002E594C"/>
    <w:rsid w:val="005D2AD6"/>
    <w:rsid w:val="008369F4"/>
    <w:rsid w:val="008459C1"/>
    <w:rsid w:val="00E04381"/>
    <w:rsid w:val="01F1494C"/>
    <w:rsid w:val="026C554B"/>
    <w:rsid w:val="04870BC1"/>
    <w:rsid w:val="05453884"/>
    <w:rsid w:val="06F14056"/>
    <w:rsid w:val="08AC1B74"/>
    <w:rsid w:val="0A2D7069"/>
    <w:rsid w:val="0BD765F7"/>
    <w:rsid w:val="0BE5778E"/>
    <w:rsid w:val="0BFB12BD"/>
    <w:rsid w:val="0C9934F7"/>
    <w:rsid w:val="0D4979ED"/>
    <w:rsid w:val="0D9E3A7D"/>
    <w:rsid w:val="18550677"/>
    <w:rsid w:val="18E724F0"/>
    <w:rsid w:val="18EE276D"/>
    <w:rsid w:val="19873E40"/>
    <w:rsid w:val="1CC14254"/>
    <w:rsid w:val="1D7007CE"/>
    <w:rsid w:val="1E1E4F79"/>
    <w:rsid w:val="1E4B7877"/>
    <w:rsid w:val="1EA73FD2"/>
    <w:rsid w:val="1F773458"/>
    <w:rsid w:val="200F3A21"/>
    <w:rsid w:val="211B4C9F"/>
    <w:rsid w:val="211D77BF"/>
    <w:rsid w:val="235B575A"/>
    <w:rsid w:val="245B27F7"/>
    <w:rsid w:val="24A000C2"/>
    <w:rsid w:val="24C967AF"/>
    <w:rsid w:val="25741E32"/>
    <w:rsid w:val="25960106"/>
    <w:rsid w:val="25A07F11"/>
    <w:rsid w:val="27D0017F"/>
    <w:rsid w:val="29866533"/>
    <w:rsid w:val="2B85120E"/>
    <w:rsid w:val="2BE83DE7"/>
    <w:rsid w:val="2D5A270B"/>
    <w:rsid w:val="2DB677B8"/>
    <w:rsid w:val="2E853A8A"/>
    <w:rsid w:val="2E8F7A12"/>
    <w:rsid w:val="2F2A09DF"/>
    <w:rsid w:val="2F7C56B2"/>
    <w:rsid w:val="2FB707D1"/>
    <w:rsid w:val="2FC52744"/>
    <w:rsid w:val="33DA4790"/>
    <w:rsid w:val="342574FD"/>
    <w:rsid w:val="345C42AF"/>
    <w:rsid w:val="34B87F60"/>
    <w:rsid w:val="367401F3"/>
    <w:rsid w:val="370712AE"/>
    <w:rsid w:val="37D77056"/>
    <w:rsid w:val="382109C6"/>
    <w:rsid w:val="38E42DF4"/>
    <w:rsid w:val="3AC86FFF"/>
    <w:rsid w:val="3BAB4B20"/>
    <w:rsid w:val="3CCE0B7F"/>
    <w:rsid w:val="3E5340E6"/>
    <w:rsid w:val="44693D72"/>
    <w:rsid w:val="449359E6"/>
    <w:rsid w:val="44E67A67"/>
    <w:rsid w:val="45B7389F"/>
    <w:rsid w:val="46A073C6"/>
    <w:rsid w:val="46C23A46"/>
    <w:rsid w:val="46CA6DA8"/>
    <w:rsid w:val="471F1EF1"/>
    <w:rsid w:val="48057B33"/>
    <w:rsid w:val="4B452D9B"/>
    <w:rsid w:val="4B5528E1"/>
    <w:rsid w:val="4C680668"/>
    <w:rsid w:val="4C8D0964"/>
    <w:rsid w:val="4C98213C"/>
    <w:rsid w:val="4D537D86"/>
    <w:rsid w:val="503C354C"/>
    <w:rsid w:val="50513C7E"/>
    <w:rsid w:val="50704D16"/>
    <w:rsid w:val="542F6EB9"/>
    <w:rsid w:val="56647C8E"/>
    <w:rsid w:val="57C641F3"/>
    <w:rsid w:val="57EA45F2"/>
    <w:rsid w:val="58E04067"/>
    <w:rsid w:val="59584BA8"/>
    <w:rsid w:val="5B020302"/>
    <w:rsid w:val="5C5462A5"/>
    <w:rsid w:val="5D220A2A"/>
    <w:rsid w:val="5E7A7535"/>
    <w:rsid w:val="5FAB3946"/>
    <w:rsid w:val="60694E95"/>
    <w:rsid w:val="6085752B"/>
    <w:rsid w:val="60D25E90"/>
    <w:rsid w:val="615175BE"/>
    <w:rsid w:val="61E47F9C"/>
    <w:rsid w:val="621E1DC7"/>
    <w:rsid w:val="633772B8"/>
    <w:rsid w:val="639A774C"/>
    <w:rsid w:val="63D978E5"/>
    <w:rsid w:val="63F06D02"/>
    <w:rsid w:val="63FC7DD0"/>
    <w:rsid w:val="655779E0"/>
    <w:rsid w:val="67482AA4"/>
    <w:rsid w:val="67970C15"/>
    <w:rsid w:val="69931E41"/>
    <w:rsid w:val="6A6E5867"/>
    <w:rsid w:val="6DA93828"/>
    <w:rsid w:val="6E855956"/>
    <w:rsid w:val="6F1D310B"/>
    <w:rsid w:val="70200412"/>
    <w:rsid w:val="70930367"/>
    <w:rsid w:val="715C4802"/>
    <w:rsid w:val="728640B8"/>
    <w:rsid w:val="73B308DF"/>
    <w:rsid w:val="73DB5BCF"/>
    <w:rsid w:val="74DC0195"/>
    <w:rsid w:val="76D30E56"/>
    <w:rsid w:val="778637C3"/>
    <w:rsid w:val="78561BC3"/>
    <w:rsid w:val="78B37FE9"/>
    <w:rsid w:val="792B77B2"/>
    <w:rsid w:val="7A484492"/>
    <w:rsid w:val="7D08156B"/>
    <w:rsid w:val="7DBD5DD6"/>
    <w:rsid w:val="7EA12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大理州洱源县党政机关单位</Company>
  <Pages>8</Pages>
  <Words>593</Words>
  <Characters>3384</Characters>
  <Lines>28</Lines>
  <Paragraphs>7</Paragraphs>
  <TotalTime>10</TotalTime>
  <ScaleCrop>false</ScaleCrop>
  <LinksUpToDate>false</LinksUpToDate>
  <CharactersWithSpaces>3970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2023-01-29T09:02:00Z</dcterms:created>
  <dc:creator>木阳</dc:creator>
  <cp:lastModifiedBy>董云凤</cp:lastModifiedBy>
  <cp:lastPrinted>2023-01-30T01:39:00Z</cp:lastPrinted>
  <dcterms:modified xsi:type="dcterms:W3CDTF">2023-01-31T07:37:58Z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